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13" w:rsidRPr="00194371" w:rsidRDefault="00B05013" w:rsidP="00B05013">
      <w:pPr>
        <w:spacing w:after="0"/>
        <w:jc w:val="both"/>
        <w:rPr>
          <w:b/>
          <w:iCs/>
          <w:color w:val="FF0000"/>
          <w:sz w:val="28"/>
          <w:szCs w:val="28"/>
          <w:u w:val="single"/>
          <w:lang w:val="en-US"/>
        </w:rPr>
      </w:pPr>
      <w:r>
        <w:rPr>
          <w:b/>
          <w:iCs/>
          <w:color w:val="FF0000"/>
          <w:sz w:val="28"/>
          <w:szCs w:val="28"/>
          <w:u w:val="single"/>
          <w:lang w:val="en-US"/>
        </w:rPr>
        <w:t>II</w:t>
      </w:r>
      <w:r>
        <w:rPr>
          <w:b/>
          <w:iCs/>
          <w:color w:val="FF0000"/>
          <w:sz w:val="28"/>
          <w:szCs w:val="28"/>
          <w:u w:val="single"/>
        </w:rPr>
        <w:t xml:space="preserve">. </w:t>
      </w:r>
      <w:proofErr w:type="spellStart"/>
      <w:r w:rsidRPr="00194371">
        <w:rPr>
          <w:b/>
          <w:iCs/>
          <w:color w:val="FF0000"/>
          <w:sz w:val="28"/>
          <w:szCs w:val="28"/>
          <w:u w:val="single"/>
          <w:lang w:val="en-US"/>
        </w:rPr>
        <w:t>Пример</w:t>
      </w:r>
      <w:proofErr w:type="spellEnd"/>
      <w:r w:rsidRPr="00194371">
        <w:rPr>
          <w:b/>
          <w:iCs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194371">
        <w:rPr>
          <w:b/>
          <w:iCs/>
          <w:color w:val="FF0000"/>
          <w:sz w:val="28"/>
          <w:szCs w:val="28"/>
          <w:u w:val="single"/>
          <w:lang w:val="en-US"/>
        </w:rPr>
        <w:t>кейсов</w:t>
      </w:r>
      <w:proofErr w:type="spellEnd"/>
      <w:r>
        <w:rPr>
          <w:b/>
          <w:iCs/>
          <w:color w:val="FF0000"/>
          <w:sz w:val="28"/>
          <w:szCs w:val="28"/>
          <w:u w:val="single"/>
        </w:rPr>
        <w:t xml:space="preserve"> (иллюстративно)</w:t>
      </w:r>
      <w:r w:rsidRPr="00194371">
        <w:rPr>
          <w:b/>
          <w:iCs/>
          <w:color w:val="FF0000"/>
          <w:sz w:val="28"/>
          <w:szCs w:val="28"/>
          <w:u w:val="single"/>
          <w:lang w:val="en-US"/>
        </w:rPr>
        <w:t>:</w:t>
      </w:r>
    </w:p>
    <w:p w:rsidR="00B05013" w:rsidRDefault="00B05013" w:rsidP="00B05013">
      <w:pPr>
        <w:spacing w:after="0"/>
        <w:jc w:val="both"/>
        <w:rPr>
          <w:iCs/>
          <w:color w:val="000000" w:themeColor="text1"/>
          <w:sz w:val="24"/>
          <w:szCs w:val="24"/>
        </w:rPr>
      </w:pPr>
    </w:p>
    <w:p w:rsidR="00B05013" w:rsidRDefault="00B05013" w:rsidP="00B0501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«ХХХ»</w:t>
            </w:r>
          </w:p>
        </w:tc>
      </w:tr>
      <w:tr w:rsidR="00B05013" w:rsidRPr="003D1CF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AD7459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7459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</w:tr>
      <w:tr w:rsidR="00B05013" w:rsidRPr="007F273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7F273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оздание технологии, способствующей развитию персонализированной медицины </w:t>
            </w:r>
          </w:p>
        </w:tc>
      </w:tr>
      <w:tr w:rsidR="00B05013" w:rsidRPr="00B72A90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рамках выполнения конкурсной работы предлагается исследовать возможность с</w:t>
            </w:r>
            <w:r>
              <w:t>оздания тест-системы для определения генетического возраста.</w:t>
            </w:r>
          </w:p>
          <w:p w:rsidR="00B05013" w:rsidRDefault="00B05013" w:rsidP="00B5160C">
            <w:pPr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результате на предприятии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должна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</w:t>
            </w:r>
            <w:r>
              <w:t xml:space="preserve">азработана тест-система для ДНК-маркеров, </w:t>
            </w:r>
            <w:proofErr w:type="spellStart"/>
            <w:r>
              <w:t>коррелирующих</w:t>
            </w:r>
            <w:proofErr w:type="spellEnd"/>
            <w:r>
              <w:t xml:space="preserve"> с возрастом.</w:t>
            </w:r>
          </w:p>
          <w:p w:rsidR="00B05013" w:rsidRDefault="00B05013" w:rsidP="00B5160C">
            <w:pPr>
              <w:jc w:val="both"/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Решаемая проблема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>
              <w:t xml:space="preserve">пределение примерного биологического возраста каждого по ДНК может быть важно для целей криминалистики, так как именно ДНК зачастую является одной </w:t>
            </w:r>
            <w:proofErr w:type="gramStart"/>
            <w:r>
              <w:t>из</w:t>
            </w:r>
            <w:proofErr w:type="gramEnd"/>
            <w:r>
              <w:t xml:space="preserve"> или </w:t>
            </w:r>
            <w:proofErr w:type="gramStart"/>
            <w:r>
              <w:t>единственной</w:t>
            </w:r>
            <w:proofErr w:type="gramEnd"/>
            <w:r>
              <w:t xml:space="preserve"> уликой на месте преступления. Также, риск возникновения сразу нескольких типов рака увеличивается с укорочением </w:t>
            </w:r>
            <w:proofErr w:type="spellStart"/>
            <w:r>
              <w:t>теломерных</w:t>
            </w:r>
            <w:proofErr w:type="spellEnd"/>
            <w:r>
              <w:t xml:space="preserve"> повторов (процесс, прогрессирующий с возрастом), следовательно, данный признак теоретически можно было бы использовать для определения риска онкогенеза. Наконец, развитие технологий биологического омоложения всего организма требует наличия недорогих и эффективных методов определения их эффективности за достаточно быстрое время. Изменения в ДНК-маркерах возраста могли бы быть использованы для оценки эффективности этих технологий.</w:t>
            </w:r>
          </w:p>
          <w:p w:rsidR="00B05013" w:rsidRDefault="00B05013" w:rsidP="00B5160C">
            <w:pPr>
              <w:jc w:val="both"/>
            </w:pPr>
            <w:r>
              <w:t xml:space="preserve">Возраст является биологической характеристикой, меняющейся со временем в </w:t>
            </w:r>
            <w:proofErr w:type="gramStart"/>
            <w:r>
              <w:t>силу</w:t>
            </w:r>
            <w:proofErr w:type="gramEnd"/>
            <w:r>
              <w:t xml:space="preserve"> как наследственных причин, так и образа жизни. В данной работе предлагается определить общую длину </w:t>
            </w:r>
            <w:proofErr w:type="spellStart"/>
            <w:r>
              <w:t>теломер</w:t>
            </w:r>
            <w:proofErr w:type="spellEnd"/>
            <w:r>
              <w:t xml:space="preserve"> (количество </w:t>
            </w:r>
            <w:proofErr w:type="spellStart"/>
            <w:r>
              <w:t>теломерных</w:t>
            </w:r>
            <w:proofErr w:type="spellEnd"/>
            <w:r>
              <w:t xml:space="preserve"> повторов) в клетках слюны в двух группах доноров: младше 20 и старше 40, после чего определить значимость в различии в длине </w:t>
            </w:r>
            <w:proofErr w:type="spellStart"/>
            <w:r>
              <w:t>теломер</w:t>
            </w:r>
            <w:proofErr w:type="spellEnd"/>
            <w:r>
              <w:t xml:space="preserve"> у обеих групп, а также провести корреляционный анализ длины </w:t>
            </w:r>
            <w:proofErr w:type="spellStart"/>
            <w:r>
              <w:t>теломер</w:t>
            </w:r>
            <w:proofErr w:type="spellEnd"/>
            <w:r>
              <w:t xml:space="preserve"> и возраста. Кроме того, будет изучена небольшая выборка доноров крови, которые сдавали её дважды с разницей в один год. Длина </w:t>
            </w:r>
            <w:proofErr w:type="spellStart"/>
            <w:r>
              <w:t>теломер</w:t>
            </w:r>
            <w:proofErr w:type="spellEnd"/>
            <w:r>
              <w:t xml:space="preserve"> в клетках крови у одних и тех же индивидуумов будет изучена с целью </w:t>
            </w:r>
            <w:proofErr w:type="gramStart"/>
            <w:r>
              <w:t>определить</w:t>
            </w:r>
            <w:proofErr w:type="gramEnd"/>
            <w:r>
              <w:t xml:space="preserve">, изменяется ли длина </w:t>
            </w:r>
            <w:proofErr w:type="spellStart"/>
            <w:r>
              <w:t>теломер</w:t>
            </w:r>
            <w:proofErr w:type="spellEnd"/>
            <w:r>
              <w:t xml:space="preserve"> за один год и, в среднем, насколько. </w:t>
            </w:r>
          </w:p>
          <w:p w:rsidR="00B05013" w:rsidRPr="00B72A90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В качестве альтернативного подхода предполагается исследовать процент </w:t>
            </w:r>
            <w:proofErr w:type="spellStart"/>
            <w:r>
              <w:t>метилирования</w:t>
            </w:r>
            <w:proofErr w:type="spellEnd"/>
            <w:r>
              <w:t xml:space="preserve"> сайта </w:t>
            </w:r>
            <w:proofErr w:type="spellStart"/>
            <w:r>
              <w:t>CpG</w:t>
            </w:r>
            <w:proofErr w:type="spellEnd"/>
            <w:r>
              <w:t xml:space="preserve"> M1215 в </w:t>
            </w:r>
            <w:proofErr w:type="spellStart"/>
            <w:r>
              <w:t>митохондриальной</w:t>
            </w:r>
            <w:proofErr w:type="spellEnd"/>
            <w:r>
              <w:t xml:space="preserve"> ДНК </w:t>
            </w:r>
            <w:r>
              <w:lastRenderedPageBreak/>
              <w:t>доноров, так как ранее была показана высокая степень корреляции этого признака с возрастом.</w:t>
            </w:r>
          </w:p>
        </w:tc>
      </w:tr>
      <w:tr w:rsidR="00B05013" w:rsidRPr="00842EE4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 выполнении работ должны быть выполнены:</w:t>
            </w:r>
          </w:p>
          <w:p w:rsidR="00B05013" w:rsidRDefault="00B05013" w:rsidP="00B050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Работа с биологическим материалом, обработка и хранение необходимого количества образцов. </w:t>
            </w:r>
          </w:p>
          <w:p w:rsidR="00B05013" w:rsidRDefault="00B05013" w:rsidP="00B050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Применение ПЦР в реальном времени; работа с геномной ДНК.</w:t>
            </w:r>
          </w:p>
          <w:p w:rsidR="00B05013" w:rsidRDefault="00B05013" w:rsidP="00B050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Выделение геномной ДНК из </w:t>
            </w:r>
            <w:proofErr w:type="gramStart"/>
            <w:r>
              <w:t>биологического</w:t>
            </w:r>
            <w:proofErr w:type="gramEnd"/>
            <w:r>
              <w:t xml:space="preserve"> материала. </w:t>
            </w:r>
          </w:p>
          <w:p w:rsidR="00B05013" w:rsidRDefault="00B05013" w:rsidP="00B050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Методики: </w:t>
            </w:r>
            <w:proofErr w:type="spellStart"/>
            <w:proofErr w:type="gramStart"/>
            <w:r>
              <w:t>гель-электрофореза</w:t>
            </w:r>
            <w:proofErr w:type="spellEnd"/>
            <w:proofErr w:type="gramEnd"/>
            <w:r>
              <w:t xml:space="preserve"> ДНК; ПЦР; </w:t>
            </w:r>
            <w:proofErr w:type="spellStart"/>
            <w:r>
              <w:t>рестрикционного</w:t>
            </w:r>
            <w:proofErr w:type="spellEnd"/>
            <w:r>
              <w:t xml:space="preserve"> анализа; бисульфитной обработки ДНК. </w:t>
            </w:r>
          </w:p>
          <w:p w:rsidR="00B05013" w:rsidRDefault="00B05013" w:rsidP="00B050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 xml:space="preserve">Анализ полиморфизма длин </w:t>
            </w:r>
            <w:proofErr w:type="spellStart"/>
            <w:r>
              <w:t>рестрикционных</w:t>
            </w:r>
            <w:proofErr w:type="spellEnd"/>
            <w:r>
              <w:t xml:space="preserve"> фрагментов. </w:t>
            </w:r>
          </w:p>
          <w:p w:rsidR="00B05013" w:rsidRPr="00842EE4" w:rsidRDefault="00B05013" w:rsidP="00B0501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 xml:space="preserve">Принципы </w:t>
            </w:r>
            <w:proofErr w:type="gramStart"/>
            <w:r>
              <w:t>бисульфитного</w:t>
            </w:r>
            <w:proofErr w:type="gramEnd"/>
            <w:r>
              <w:t xml:space="preserve"> </w:t>
            </w:r>
            <w:proofErr w:type="spellStart"/>
            <w:r>
              <w:t>секвенирования</w:t>
            </w:r>
            <w:proofErr w:type="spellEnd"/>
            <w:r>
              <w:t>. Методы математической статистики, используемые в биологических исследованиях (критерий Стьюдента, регрессионный анализ).</w:t>
            </w:r>
          </w:p>
          <w:p w:rsidR="00B05013" w:rsidRPr="00842EE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Биотехнологии,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Биология,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Медицина</w:t>
            </w:r>
          </w:p>
        </w:tc>
      </w:tr>
      <w:tr w:rsidR="00B05013" w:rsidRPr="003D1CF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5" w:history="1">
              <w:r w:rsidRPr="004227CA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4227CA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@ххх.</w:t>
              </w:r>
              <w:r w:rsidRPr="004227CA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sz w:val="24"/>
          <w:szCs w:val="24"/>
        </w:rPr>
      </w:pPr>
    </w:p>
    <w:p w:rsidR="00B05013" w:rsidRDefault="00B05013" w:rsidP="00B05013">
      <w:pPr>
        <w:rPr>
          <w:b/>
          <w:sz w:val="24"/>
          <w:szCs w:val="24"/>
        </w:rPr>
      </w:pPr>
      <w:r w:rsidRPr="00EE6696">
        <w:rPr>
          <w:b/>
          <w:sz w:val="24"/>
          <w:szCs w:val="24"/>
        </w:rPr>
        <w:t>2.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sz w:val="24"/>
                <w:szCs w:val="24"/>
              </w:rPr>
              <w:t>ХХХ муниципального района ХХХ области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0215C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D7459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322D02" w:rsidRDefault="00B05013" w:rsidP="00B516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текущей социально-экономической ситуации в ХХХ районе ХХХ области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текущего социально-экономического положения ХХХ района ХХХ области, включая: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Оценк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</w:t>
            </w: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потенциала социально-экономического развития ХХХ района ХХХ области;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ограничений социально-экономического развития и конкурентных преимуществ и возможностей ХХХ района ХХХ области</w:t>
            </w:r>
          </w:p>
          <w:p w:rsidR="00B05013" w:rsidRPr="00322D02" w:rsidRDefault="00B05013" w:rsidP="00B5160C">
            <w:pPr>
              <w:jc w:val="both"/>
              <w:rPr>
                <w:b/>
                <w:sz w:val="24"/>
                <w:szCs w:val="24"/>
              </w:rPr>
            </w:pPr>
            <w:r w:rsidRPr="000215CF">
              <w:rPr>
                <w:sz w:val="24"/>
                <w:szCs w:val="24"/>
              </w:rPr>
              <w:t>Кейс является составной частью блока документов стратегического планирования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ХХХ района ХХХ области.</w:t>
            </w:r>
          </w:p>
        </w:tc>
      </w:tr>
      <w:tr w:rsidR="00B05013" w:rsidRPr="000215C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Pr="0093519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работы включает в себя: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Экономико-географическое положение, ресурсная и производственная специализация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Тенденции развития ключевых отраслей экономики и малого бизнеса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Человеческий капитал: население и трудовые ресурсы с учетом демографической и миграционной ситуации, уровня жизни, состояния рынка труда, заработной платы населения;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Тенденции развития социальной сферы ХХХ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Инфраструктурное развитие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района</w:t>
            </w: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муниципального управления;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Пространственное развитие ХХХ района привлекательность территории для жителей, туристов, инвесторов;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Инвестиционная привлекательность и состояние делового климата ХХХ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Анализ факторов внешней среды, оказывающих влияние на социально-экономическое развитие ХХХ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роли и места ХХХ района в региональной и национальной экономике;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сильных и слабых сторон, возможностей и угроз социально-экономического развития ХХХ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факторов, определяющих развитие экономики района до 2030 года;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основных проблем и рисков социально-экономического развития района;</w:t>
            </w:r>
          </w:p>
          <w:p w:rsidR="00B05013" w:rsidRPr="000215CF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Выделение и анализ конкурентных преимуществ ХХХ района, предложения по их укреплению и развитию;</w:t>
            </w:r>
          </w:p>
          <w:p w:rsidR="00B05013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предложений по развитию ХХХ района как конкурентоспособного, </w:t>
            </w:r>
            <w:proofErr w:type="spellStart"/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>инвестиционно-привлекательного</w:t>
            </w:r>
            <w:proofErr w:type="spellEnd"/>
            <w:r w:rsidRPr="000215C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:rsidR="00B05013" w:rsidRPr="003F34A5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Государственное и муниципальное</w:t>
            </w: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управление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Экономическая география,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Маркетинг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7" w:history="1"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abc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color w:val="FF0000"/>
          <w:sz w:val="24"/>
          <w:szCs w:val="24"/>
        </w:rPr>
      </w:pPr>
    </w:p>
    <w:p w:rsidR="00B05013" w:rsidRDefault="00B05013" w:rsidP="00B05013">
      <w:pPr>
        <w:rPr>
          <w:b/>
          <w:sz w:val="24"/>
          <w:szCs w:val="24"/>
        </w:rPr>
      </w:pPr>
      <w:r w:rsidRPr="00EE6696">
        <w:rPr>
          <w:b/>
          <w:sz w:val="24"/>
          <w:szCs w:val="24"/>
        </w:rPr>
        <w:t>3.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предприятия </w:t>
            </w:r>
            <w:r>
              <w:rPr>
                <w:b/>
                <w:sz w:val="24"/>
                <w:szCs w:val="24"/>
              </w:rPr>
              <w:lastRenderedPageBreak/>
              <w:t>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городского округа Х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ской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0215C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D7459">
                <w:rPr>
                  <w:rFonts w:eastAsia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Государственное управление и обеспечение военной безопасности; социальное обеспечение</w:t>
              </w:r>
            </w:hyperlink>
          </w:p>
        </w:tc>
      </w:tr>
      <w:tr w:rsidR="00B05013" w:rsidRPr="008C50AD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8C50A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Анализ внешней среды и предпосылок создания индустриального парка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территории города Х </w:t>
            </w:r>
          </w:p>
        </w:tc>
      </w:tr>
      <w:tr w:rsidR="00B05013" w:rsidRPr="00751D0A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предложений по созданию инвестиционной площадки, с</w:t>
            </w:r>
            <w:r w:rsidRPr="00B859B7">
              <w:rPr>
                <w:rFonts w:eastAsia="Times New Roman" w:cs="Times New Roman"/>
                <w:sz w:val="24"/>
                <w:szCs w:val="24"/>
                <w:lang w:eastAsia="ru-RU"/>
              </w:rPr>
              <w:t>пециально организованн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B859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размещения новых производств, обеспеченн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B859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инженерной</w:t>
            </w:r>
            <w:r w:rsidRPr="00B859B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инфраструктурой, необходимыми административно-правовыми условиями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ведения предпринимательской деятельности в целях социально-экономического развития территории города Х</w:t>
            </w:r>
          </w:p>
          <w:p w:rsidR="00B05013" w:rsidRPr="00751D0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05013" w:rsidRPr="00751D0A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Pr="00751D0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Основными задачами настоящей работы явля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тся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разработка обоснованных предложений по определению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специализации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индустриального парка, обоснование заявленной специализации;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профиля потенциальных резидентов;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инфраструктурных потребностей резидентов;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существующих и перспективных сырьевых потоков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для планируемых предприятий резидентов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оценка рисков проекта создания индустриального парка;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укрупненная оценка объема инвестиций, необходимого для реализации проекта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создания 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индустриального парка;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анализ уровня конкурентоспособности индустриального парка;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модели управления индустриальным парком;</w:t>
            </w:r>
          </w:p>
          <w:p w:rsidR="00B05013" w:rsidRPr="00751D0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возможности привлечения мер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государственной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поддержки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строительства 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индустриального парка;</w:t>
            </w:r>
          </w:p>
          <w:p w:rsidR="00B05013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возможных источников финансирования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строительства </w:t>
            </w:r>
            <w:r w:rsidRPr="00751D0A">
              <w:rPr>
                <w:rFonts w:eastAsia="Times New Roman" w:cs="Times New Roman"/>
                <w:sz w:val="24"/>
                <w:szCs w:val="24"/>
                <w:lang w:eastAsia="ru-RU"/>
              </w:rPr>
              <w:t>индустриального парка.</w:t>
            </w:r>
          </w:p>
          <w:p w:rsidR="00B05013" w:rsidRPr="003F34A5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Государственное и муниципальное</w:t>
            </w: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управление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Маркетинг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9" w:history="1"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abc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sz w:val="24"/>
          <w:szCs w:val="24"/>
        </w:rPr>
      </w:pPr>
    </w:p>
    <w:p w:rsidR="00B05013" w:rsidRDefault="00B05013" w:rsidP="00B05013">
      <w:pPr>
        <w:rPr>
          <w:b/>
          <w:sz w:val="24"/>
          <w:szCs w:val="24"/>
        </w:rPr>
      </w:pPr>
      <w:r w:rsidRPr="00200F6A">
        <w:rPr>
          <w:b/>
          <w:sz w:val="24"/>
          <w:szCs w:val="24"/>
        </w:rPr>
        <w:lastRenderedPageBreak/>
        <w:t>4.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АО «АВС»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9C6930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7459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</w:tr>
      <w:tr w:rsidR="00B05013" w:rsidRPr="008C50AD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8C50A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Маркетинговые исследования, </w:t>
            </w:r>
            <w:proofErr w:type="spellStart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брендирование</w:t>
            </w:r>
            <w:proofErr w:type="spellEnd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новых товаров (работ, услуг)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 «ХХХ»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родвижение на рынке новых товаров (работ, услуг)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 «ХХХ» на рынок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Российской Федерации в целом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</w:p>
        </w:tc>
      </w:tr>
      <w:tr w:rsidR="00B05013" w:rsidRPr="00DC4210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1) Характеристика конкурентных потребительских качеств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новых товаров (услуг, работ)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 «ХХХ»:</w:t>
            </w:r>
          </w:p>
          <w:p w:rsidR="00B05013" w:rsidRDefault="00B05013" w:rsidP="00B050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/ -</w:t>
            </w:r>
          </w:p>
          <w:p w:rsidR="00B05013" w:rsidRDefault="00B05013" w:rsidP="00B050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/ -</w:t>
            </w:r>
          </w:p>
          <w:p w:rsidR="00B05013" w:rsidRPr="00DC4210" w:rsidRDefault="00B05013" w:rsidP="00B0501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/ -</w:t>
            </w:r>
          </w:p>
          <w:p w:rsidR="00B05013" w:rsidRPr="008C50A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Анализ рынков товаров и услуг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Московской области и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Российской Федерации в целом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соответствии с потребностью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«ХХХ»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тенденции и перспективы развития рынка;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и характеристика основных операторов рынка (производителей и покупателей);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объем рынка и доли основных игроков;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концентрации товарного рынка;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конкурентной среды на рынке;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ценовой мониторинг рынка;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барьеры входа на рынок;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сегментация потребителей;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предпочтения потребителей, уровень удовлетворенности их спроса.</w:t>
            </w:r>
          </w:p>
          <w:p w:rsidR="00B05013" w:rsidRPr="008C50A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2) Предложения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по позиционированию и продвижению новых товаров (услуг, работ)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включая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целевой аудитории для продукта;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текущей позиции производителя на рынке;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конкурентоспособности производителя на рынке;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анализ рекламной и PR- активности производителя и его конкурентов;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разработка рекомендаций по позиционированию и продвижению продукции;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плана маркетинговых и рекламных мероприятий по продвижению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товара на </w:t>
            </w:r>
            <w:proofErr w:type="gramStart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существующий</w:t>
            </w:r>
            <w:proofErr w:type="gramEnd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новые рынки.</w:t>
            </w:r>
          </w:p>
          <w:p w:rsidR="00B05013" w:rsidRPr="008C50A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3) Предложения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брендированию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новых товаров (работ, услуг)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 «ХХХ»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варианты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названия для нового предприятия/продукта/бренда;</w:t>
            </w:r>
          </w:p>
          <w:p w:rsidR="00B05013" w:rsidRPr="008C50AD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предложения по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структур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бренда,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включая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: определение ядра бренда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предложение варианта </w:t>
            </w:r>
            <w:proofErr w:type="spellStart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слогана</w:t>
            </w:r>
            <w:proofErr w:type="spellEnd"/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, рекламных текстовок и т.д.); определение индивидуальности бренда;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ценности бренда, которую он нес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т потребителям (определение</w:t>
            </w:r>
            <w:proofErr w:type="gramEnd"/>
          </w:p>
          <w:p w:rsidR="00B05013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модели построения бренда); определение преимуществ и выгод, которые нес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50AD">
              <w:rPr>
                <w:rFonts w:eastAsia="Times New Roman" w:cs="Times New Roman"/>
                <w:sz w:val="24"/>
                <w:szCs w:val="24"/>
                <w:lang w:eastAsia="ru-RU"/>
              </w:rPr>
              <w:t>бренд потребителю; определение основных характеристик бренда;</w:t>
            </w:r>
          </w:p>
          <w:p w:rsidR="00B05013" w:rsidRPr="003F34A5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Маркетинг,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Исследования рынка,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Реклама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10" w:history="1"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abc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sz w:val="24"/>
          <w:szCs w:val="24"/>
        </w:rPr>
      </w:pPr>
    </w:p>
    <w:p w:rsidR="00B05013" w:rsidRDefault="00B05013" w:rsidP="00B05013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E6696">
        <w:rPr>
          <w:b/>
          <w:sz w:val="24"/>
          <w:szCs w:val="24"/>
        </w:rPr>
        <w:t>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АО «АВС»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7459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профессиональная научная и техническая прочая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методики применения статистического приемочного контроля в термическом и литейном производстве</w:t>
            </w:r>
          </w:p>
        </w:tc>
      </w:tr>
      <w:tr w:rsidR="00B05013" w:rsidRPr="004004DD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Pr="00F51A1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Применение сплошного контроля качества является экономически неэффективным. Поэтому предприятие заинтересовано в применении выборочного контроля для осуществления измерений, испытаний и контроля качества выпускаемой продукции.</w:t>
            </w:r>
          </w:p>
          <w:p w:rsidR="00B05013" w:rsidRPr="00F51A1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Обоснование объемов выборок можно осуществлять на основе </w:t>
            </w: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ретроспективных данных, экспертного мнения специалистов предприятия или с применением статистически обоснованных математических методов.</w:t>
            </w:r>
          </w:p>
          <w:p w:rsidR="00B05013" w:rsidRPr="00F51A1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В настоящее время разработаны и применяются национальные стандарты (ГОСТ Р), устанавливающие методы статистического приемочного контроля качества по количественному или альтернативному признаку.</w:t>
            </w:r>
          </w:p>
          <w:p w:rsidR="00B05013" w:rsidRPr="00F51A1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Проблема заключается в том, что для контроля качества процессов и продукции термического и литейного производства, статистические методы применяются редко. Объемы выборок зачастую являются необоснованными статистически. Не все статистические методы применимы для данных процессов.</w:t>
            </w:r>
          </w:p>
          <w:p w:rsidR="00B05013" w:rsidRPr="00F51A1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езультатом работы является р</w:t>
            </w: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азработан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методика применения статистического приемочного контроля в термическом и литейном производстве применительно к выбранному изделию.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Pr="00F51A1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Необходимо при выполнении проекта:</w:t>
            </w:r>
          </w:p>
          <w:p w:rsidR="00B05013" w:rsidRPr="00F51A1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Ознакомиться с технологическими процессами термического и литейного производств, установить особенности применения статистических методов для данного типа процессов.</w:t>
            </w:r>
          </w:p>
          <w:p w:rsidR="00B05013" w:rsidRPr="00F51A1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Осуществить выбор изделия, а также описать контролируемые параметры качества данного изделия в литейном и термическом производстве.</w:t>
            </w:r>
          </w:p>
          <w:p w:rsidR="00B05013" w:rsidRPr="00F51A1A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Обосновать выбор применяемых методов статистического приемочного контроля.</w:t>
            </w:r>
          </w:p>
          <w:p w:rsidR="00B05013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Разработать методику применения статистического приемочного контроля в термическом и литейном производстве.</w:t>
            </w:r>
          </w:p>
          <w:p w:rsidR="00B05013" w:rsidRPr="003F34A5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Экономика,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Статистика, 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11" w:history="1"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abc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color w:val="FF0000"/>
          <w:sz w:val="24"/>
          <w:szCs w:val="24"/>
        </w:rPr>
      </w:pPr>
    </w:p>
    <w:p w:rsidR="00B05013" w:rsidRDefault="00B05013" w:rsidP="00B05013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F51A1A">
        <w:rPr>
          <w:b/>
          <w:sz w:val="24"/>
          <w:szCs w:val="24"/>
        </w:rPr>
        <w:t>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АО «АВС»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 предприятия </w:t>
            </w:r>
            <w:r>
              <w:rPr>
                <w:b/>
                <w:sz w:val="24"/>
                <w:szCs w:val="24"/>
              </w:rPr>
              <w:lastRenderedPageBreak/>
              <w:t>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lastRenderedPageBreak/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7459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электронного учебного курса для специалистов компании / подрядчиков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осуществляющих </w:t>
            </w: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разработку и установку систем видеонаблюдения и охранных систем</w:t>
            </w:r>
          </w:p>
        </w:tc>
      </w:tr>
      <w:tr w:rsidR="00B05013" w:rsidRPr="004004DD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Pr="00850A2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Компания ХХХ является крупной сетевой компанией, обеспечивающей разработку и установку систем видеонаблюдения и охранных систем на объектах заказчика, располагающихся в различных регионах РФ.</w:t>
            </w:r>
          </w:p>
          <w:p w:rsidR="00B05013" w:rsidRPr="00850A2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выполнения заказов привлекаются технические специалисты – разработчики программного обеспечения, специалисты, осуществляющие монтаж систем, </w:t>
            </w:r>
            <w:proofErr w:type="spellStart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тестировщики</w:t>
            </w:r>
            <w:proofErr w:type="spellEnd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программного обеспечения.</w:t>
            </w:r>
          </w:p>
          <w:p w:rsidR="00B05013" w:rsidRPr="00850A2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Компания должна обеспечивать требуемое качество проектов, поэтому привлекая подрядные организации для выполнения заказа, или направляя своих специалистов для выполнения заказа, компания обеспечивает их обучение.</w:t>
            </w:r>
          </w:p>
          <w:p w:rsidR="00B05013" w:rsidRPr="00850A2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Обучение проводится с использованием системы дистанционного обучения </w:t>
            </w:r>
            <w:proofErr w:type="spellStart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05013" w:rsidRPr="00850A2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51A1A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езультатом являются разработанные в составе работы:</w:t>
            </w:r>
          </w:p>
          <w:p w:rsidR="00B05013" w:rsidRPr="00157593" w:rsidRDefault="00B05013" w:rsidP="00B050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учебный курс для обучения операторов ESM.</w:t>
            </w:r>
          </w:p>
          <w:p w:rsidR="00B05013" w:rsidRPr="00157593" w:rsidRDefault="00B05013" w:rsidP="00B050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учебный курс для </w:t>
            </w:r>
            <w:proofErr w:type="gramStart"/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>обучения специалистов по</w:t>
            </w:r>
            <w:proofErr w:type="gramEnd"/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информационной безопасности.</w:t>
            </w:r>
          </w:p>
          <w:p w:rsidR="00B05013" w:rsidRPr="00157593" w:rsidRDefault="00B05013" w:rsidP="00B050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учебный курс для </w:t>
            </w:r>
            <w:proofErr w:type="gramStart"/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>обучения специалистов по тестированию</w:t>
            </w:r>
            <w:proofErr w:type="gramEnd"/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информационных систем.</w:t>
            </w:r>
          </w:p>
          <w:p w:rsidR="00B05013" w:rsidRPr="00157593" w:rsidRDefault="00B05013" w:rsidP="00B0501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57593">
              <w:rPr>
                <w:rFonts w:eastAsia="Times New Roman" w:cs="Times New Roman"/>
                <w:sz w:val="24"/>
                <w:szCs w:val="24"/>
                <w:lang w:eastAsia="ru-RU"/>
              </w:rPr>
              <w:t>методические рекомендации по организации обучения персонала компании / подрядных организаций.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Pr="00850A2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Необходимо при выполнении проекта:</w:t>
            </w:r>
          </w:p>
          <w:p w:rsidR="00B05013" w:rsidRPr="00850A24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Ознакомиться с учебно-методическими материалами, используемыми в компании для проведения входного тестирования персонала, а также для обучения технических специалистов – разработчиков программного обеспечения, специалистов, осуществляющих монтаж систем, </w:t>
            </w:r>
            <w:proofErr w:type="spellStart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тестировщиков</w:t>
            </w:r>
            <w:proofErr w:type="spellEnd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программного обеспечения.</w:t>
            </w:r>
          </w:p>
          <w:p w:rsidR="00B05013" w:rsidRDefault="00B05013" w:rsidP="00B0501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Разработать электронный учебный курс в системе </w:t>
            </w:r>
            <w:proofErr w:type="spellStart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850A2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05013" w:rsidRPr="00842EE4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Программирование,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Дистанционное обучение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12" w:history="1"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abc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color w:val="FF0000"/>
          <w:sz w:val="24"/>
          <w:szCs w:val="24"/>
        </w:rPr>
      </w:pPr>
    </w:p>
    <w:p w:rsidR="00B05013" w:rsidRPr="007F273F" w:rsidRDefault="00B05013" w:rsidP="00B05013">
      <w:pPr>
        <w:rPr>
          <w:b/>
          <w:sz w:val="24"/>
          <w:szCs w:val="24"/>
        </w:rPr>
      </w:pPr>
      <w:r w:rsidRPr="007F273F">
        <w:rPr>
          <w:b/>
          <w:sz w:val="24"/>
          <w:szCs w:val="24"/>
        </w:rPr>
        <w:t>7.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АО «АВС»</w:t>
            </w:r>
          </w:p>
        </w:tc>
      </w:tr>
      <w:tr w:rsidR="00B05013" w:rsidRPr="003D1CF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73524D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73524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24D">
              <w:rPr>
                <w:rFonts w:eastAsia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а кодирующе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преобразующее</w:t>
            </w:r>
            <w:proofErr w:type="gram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двоичный код 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8BA">
              <w:rPr>
                <w:rFonts w:eastAsia="Times New Roman" w:cs="Times New Roman"/>
                <w:sz w:val="24"/>
                <w:szCs w:val="24"/>
                <w:lang w:eastAsia="ru-RU"/>
              </w:rPr>
              <w:t>унарный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7E58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дешифратор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05013" w:rsidRPr="004004DD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Pr="004004DD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004DD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комбинационн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 w:rsidRPr="004004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004DD">
              <w:rPr>
                <w:rFonts w:eastAsia="Times New Roman" w:cs="Times New Roman"/>
                <w:sz w:val="24"/>
                <w:szCs w:val="24"/>
                <w:lang w:eastAsia="ru-RU"/>
              </w:rPr>
              <w:t>устрой</w:t>
            </w:r>
            <w:r w:rsidRPr="004004DD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4004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 основе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которого</w:t>
            </w:r>
            <w:r w:rsidRPr="004004D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можно строить различные схемы преобразования кодов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 Проверка рабочих гипотез проектирования оборудования.</w:t>
            </w:r>
          </w:p>
        </w:tc>
      </w:tr>
      <w:tr w:rsidR="00B05013" w:rsidRPr="00C8352A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1)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Назначение и область применения: </w:t>
            </w:r>
          </w:p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Дешифратором или декодером (</w:t>
            </w:r>
            <w:proofErr w:type="spell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decoder</w:t>
            </w:r>
            <w:proofErr w:type="spell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называют кодирующее устройство, преобразующее двоичный код </w:t>
            </w:r>
            <w:proofErr w:type="gram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унарный. Из всех </w:t>
            </w:r>
            <w:proofErr w:type="spellStart"/>
            <w:r w:rsidRPr="000F5E31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m</w:t>
            </w:r>
            <w:proofErr w:type="spell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выходов дешифратора активный уровень имеется только 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одном, номер которого равен поданному на вход двоичному числу.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На всех остальных выходах дешифратора уровни напряжения неактивные.</w:t>
            </w:r>
          </w:p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Декодер использу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, когда нужно обращаться к различным цифровым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устройствам, и при этом номер устройства — его адрес — представлен двоичным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кодом. Входы декодера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адресны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вход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) нумеруют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порядковыми номерами, а в соответствии с весами двоичных разрядов, т.е. не 1, 2, 3,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4, 5 </w:t>
            </w:r>
            <w:proofErr w:type="spell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a</w:t>
            </w:r>
            <w:proofErr w:type="spell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1, 2, 4, 8, 16 Число входов и выходов декодера указыва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следующим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декодер 4→16.</w:t>
            </w:r>
          </w:p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Условия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эксплуатации:</w:t>
            </w:r>
          </w:p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Разрабатываемый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дешифратор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4→16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должен 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эксплуатироваться при температуре окружающей среды 180С.</w:t>
            </w:r>
          </w:p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Общие и частные технические требования: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Тактовая частота </w:t>
            </w:r>
            <w:proofErr w:type="spellStart"/>
            <w:proofErr w:type="gram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f</w:t>
            </w:r>
            <w:proofErr w:type="gram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такт</w:t>
            </w:r>
            <w:proofErr w:type="spell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. (не менее) 40 МГц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Потребляемая мощность </w:t>
            </w:r>
            <w:proofErr w:type="spell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Рпотр</w:t>
            </w:r>
            <w:proofErr w:type="spellEnd"/>
            <w:proofErr w:type="gramStart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не более) 2,5 Вт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Число входов n=4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Число выходов m=16</w:t>
            </w:r>
          </w:p>
          <w:p w:rsidR="00B05013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Печатная плата – односторонняя.</w:t>
            </w:r>
          </w:p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4) Конкурсная работа должна включать разделы: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ункциональн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структурн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схем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ы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проектируемого узла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ринципиальн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электрическ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ая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схем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проектируемого узла</w:t>
            </w:r>
          </w:p>
          <w:p w:rsidR="00B05013" w:rsidRPr="000F5E31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Конструкторская часть</w:t>
            </w:r>
          </w:p>
          <w:p w:rsidR="00B05013" w:rsidRDefault="00B05013" w:rsidP="00B050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5E31">
              <w:rPr>
                <w:rFonts w:eastAsia="Times New Roman" w:cs="Times New Roman"/>
                <w:sz w:val="24"/>
                <w:szCs w:val="24"/>
                <w:lang w:eastAsia="ru-RU"/>
              </w:rPr>
              <w:t>Графическая часть</w:t>
            </w:r>
          </w:p>
          <w:p w:rsidR="00B05013" w:rsidRPr="00C8352A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Ключевые слова кейса: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Электроника,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Радиотехника,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Системы связи</w:t>
            </w:r>
          </w:p>
        </w:tc>
      </w:tr>
      <w:tr w:rsidR="00B05013" w:rsidRPr="003D1CF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13" w:history="1"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abc</w:t>
              </w:r>
              <w:r w:rsidRPr="003D1CFF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.</w:t>
              </w:r>
              <w:r w:rsidRPr="00077F81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B05013" w:rsidRDefault="00B05013" w:rsidP="00B05013">
      <w:pPr>
        <w:rPr>
          <w:b/>
          <w:color w:val="FF0000"/>
          <w:sz w:val="24"/>
          <w:szCs w:val="24"/>
        </w:rPr>
      </w:pPr>
    </w:p>
    <w:p w:rsidR="00B05013" w:rsidRPr="00606829" w:rsidRDefault="00B05013" w:rsidP="00B05013">
      <w:pPr>
        <w:rPr>
          <w:b/>
          <w:sz w:val="24"/>
          <w:szCs w:val="24"/>
        </w:rPr>
      </w:pPr>
      <w:r w:rsidRPr="00606829">
        <w:rPr>
          <w:b/>
          <w:sz w:val="24"/>
          <w:szCs w:val="24"/>
        </w:rPr>
        <w:t>8.</w:t>
      </w:r>
    </w:p>
    <w:tbl>
      <w:tblPr>
        <w:tblStyle w:val="a4"/>
        <w:tblW w:w="9351" w:type="dxa"/>
        <w:tblLook w:val="04A0"/>
      </w:tblPr>
      <w:tblGrid>
        <w:gridCol w:w="2405"/>
        <w:gridCol w:w="6946"/>
      </w:tblGrid>
      <w:tr w:rsidR="00B05013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предприятия Партнера</w:t>
            </w:r>
          </w:p>
        </w:tc>
        <w:tc>
          <w:tcPr>
            <w:tcW w:w="6946" w:type="dxa"/>
          </w:tcPr>
          <w:p w:rsidR="00B05013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«ХХХ»</w:t>
            </w:r>
          </w:p>
        </w:tc>
      </w:tr>
      <w:tr w:rsidR="00B05013" w:rsidRPr="003D1CF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Регион предприятия Партнера</w:t>
            </w:r>
          </w:p>
        </w:tc>
        <w:tc>
          <w:tcPr>
            <w:tcW w:w="6946" w:type="dxa"/>
          </w:tcPr>
          <w:p w:rsidR="00B05013" w:rsidRPr="003D1CFF" w:rsidRDefault="00B05013" w:rsidP="00B5160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область</w:t>
            </w:r>
          </w:p>
        </w:tc>
      </w:tr>
      <w:tr w:rsidR="00B05013" w:rsidRPr="00322D02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Тематическое направление</w:t>
            </w:r>
          </w:p>
        </w:tc>
        <w:tc>
          <w:tcPr>
            <w:tcW w:w="6946" w:type="dxa"/>
          </w:tcPr>
          <w:p w:rsidR="00B05013" w:rsidRPr="00AD7459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D7459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</w:tr>
      <w:tr w:rsidR="00B05013" w:rsidRPr="000F5E31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Краткое название кейса</w:t>
            </w:r>
          </w:p>
        </w:tc>
        <w:tc>
          <w:tcPr>
            <w:tcW w:w="6946" w:type="dxa"/>
          </w:tcPr>
          <w:p w:rsidR="00B05013" w:rsidRPr="000F5E31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>нижение затрат на производство продукц</w:t>
            </w:r>
            <w:proofErr w:type="gramStart"/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>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ООО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«ХХХ»</w:t>
            </w:r>
          </w:p>
        </w:tc>
      </w:tr>
      <w:tr w:rsidR="00B05013" w:rsidRPr="00157593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>Описание кейса (решаемой проблемы</w:t>
            </w:r>
            <w:r>
              <w:rPr>
                <w:b/>
                <w:sz w:val="24"/>
                <w:szCs w:val="24"/>
              </w:rPr>
              <w:t>, включая желательный результат работы</w:t>
            </w:r>
            <w:r w:rsidRPr="00322D0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B05013" w:rsidRPr="007F273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Решаемая проблема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на основании исследования и анализа состояния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ООО «ХХХ»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разработать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конкретные предложени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снижени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себестоимости выпускаемой продукции.</w:t>
            </w:r>
          </w:p>
          <w:p w:rsidR="00B05013" w:rsidRPr="007F273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процессе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решения кейса должен быть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проведен анализ себестоимости продукции, производительности труда и заработной платы, общей суммы затрат на производство продукции, прибыли 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период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7F27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ходе выполнения работ должны быть проанализированы:</w:t>
            </w:r>
          </w:p>
          <w:p w:rsidR="00B05013" w:rsidRPr="00114A26" w:rsidRDefault="00B05013" w:rsidP="00B0501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Анализ производственно-хозяйственной деятельност</w:t>
            </w:r>
            <w:proofErr w:type="gramStart"/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«ХХХ»;</w:t>
            </w:r>
          </w:p>
          <w:p w:rsidR="00B05013" w:rsidRPr="00114A26" w:rsidRDefault="00B05013" w:rsidP="00B0501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Организационная структура предприятия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05013" w:rsidRPr="00114A26" w:rsidRDefault="00B05013" w:rsidP="00B0501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Анализ основных технико-экономических показателей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05013" w:rsidRPr="00114A26" w:rsidRDefault="00B05013" w:rsidP="00B0501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Анализ себестоимости продукции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05013" w:rsidRPr="00114A26" w:rsidRDefault="00B05013" w:rsidP="00B0501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Анализ затрат на производство и реализацию продукции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B05013" w:rsidRPr="00114A26" w:rsidRDefault="00B05013" w:rsidP="00B0501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Анализ производительности труда и заработной платы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структуре работы должен быть сформирован раздел с предложениями т</w:t>
            </w: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>ехнико-экономическ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ого характера</w:t>
            </w:r>
            <w:r w:rsidRPr="00114A2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снижению себестоимости продукции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включая меры по </w:t>
            </w:r>
            <w:r w:rsidRPr="00B72A90">
              <w:rPr>
                <w:rFonts w:eastAsia="Times New Roman" w:cs="Times New Roman"/>
                <w:sz w:val="24"/>
                <w:szCs w:val="24"/>
                <w:lang w:eastAsia="ru-RU"/>
              </w:rPr>
              <w:t>снижению материальных затрат и энергоемкости производства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05013" w:rsidRPr="00114A26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работе должны быть сформулированы предложения по участию ООО «ХХХ» в региональных программах поддержки малого и среднего предпринимательства.</w:t>
            </w:r>
          </w:p>
        </w:tc>
      </w:tr>
      <w:tr w:rsidR="00B05013" w:rsidRPr="00850A24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lastRenderedPageBreak/>
              <w:t>Дополнительная информация (при необходимости)</w:t>
            </w:r>
            <w:r>
              <w:rPr>
                <w:b/>
                <w:sz w:val="24"/>
                <w:szCs w:val="24"/>
              </w:rPr>
              <w:t>, ключевые слова кейса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Сканы документов производственной и бухгалтерской отчетности предоставляются участнику после предоставления плана и методики конкурсной работы.</w:t>
            </w:r>
          </w:p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Возможна организация посещения предприятия. </w:t>
            </w:r>
          </w:p>
          <w:p w:rsidR="00B05013" w:rsidRPr="007F273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F34A5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Ключевые слова кейса: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Бухгалтерский учет,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Экономика, </w:t>
            </w:r>
            <w:r w:rsidRPr="00842EE4"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#</w:t>
            </w:r>
            <w:r>
              <w:rPr>
                <w:rFonts w:eastAsia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Управление предприятием</w:t>
            </w:r>
          </w:p>
        </w:tc>
      </w:tr>
      <w:tr w:rsidR="00B05013" w:rsidRPr="003D1CFF" w:rsidTr="00B5160C">
        <w:tc>
          <w:tcPr>
            <w:tcW w:w="2405" w:type="dxa"/>
          </w:tcPr>
          <w:p w:rsidR="00B05013" w:rsidRPr="00322D02" w:rsidRDefault="00B05013" w:rsidP="00B5160C">
            <w:pPr>
              <w:rPr>
                <w:b/>
                <w:sz w:val="24"/>
                <w:szCs w:val="24"/>
              </w:rPr>
            </w:pPr>
            <w:r w:rsidRPr="00322D02">
              <w:rPr>
                <w:b/>
                <w:sz w:val="24"/>
                <w:szCs w:val="24"/>
              </w:rPr>
              <w:t xml:space="preserve">Контактное лицо </w:t>
            </w:r>
            <w:r>
              <w:rPr>
                <w:b/>
                <w:sz w:val="24"/>
                <w:szCs w:val="24"/>
              </w:rPr>
              <w:t>для</w:t>
            </w:r>
            <w:r w:rsidRPr="00322D02">
              <w:rPr>
                <w:b/>
                <w:sz w:val="24"/>
                <w:szCs w:val="24"/>
              </w:rPr>
              <w:t xml:space="preserve"> взаимодействи</w:t>
            </w:r>
            <w:r>
              <w:rPr>
                <w:b/>
                <w:sz w:val="24"/>
                <w:szCs w:val="24"/>
              </w:rPr>
              <w:t>я</w:t>
            </w:r>
            <w:r w:rsidRPr="00322D0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 кейсу (ФИО, адрес электронной почты, телефон)</w:t>
            </w:r>
          </w:p>
        </w:tc>
        <w:tc>
          <w:tcPr>
            <w:tcW w:w="6946" w:type="dxa"/>
          </w:tcPr>
          <w:p w:rsidR="00B05013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Иванов Иван Иванович</w:t>
            </w:r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Ivan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_ </w:t>
            </w:r>
            <w:hyperlink r:id="rId14" w:history="1">
              <w:r w:rsidRPr="004227CA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Ivanov</w:t>
              </w:r>
              <w:r w:rsidRPr="004227CA">
                <w:rPr>
                  <w:rStyle w:val="a5"/>
                  <w:rFonts w:eastAsia="Times New Roman" w:cs="Times New Roman"/>
                  <w:sz w:val="24"/>
                  <w:szCs w:val="24"/>
                  <w:lang w:eastAsia="ru-RU"/>
                </w:rPr>
                <w:t>@ххх.</w:t>
              </w:r>
              <w:r w:rsidRPr="004227CA">
                <w:rPr>
                  <w:rStyle w:val="a5"/>
                  <w:rFonts w:eastAsia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5013" w:rsidRPr="003D1CFF" w:rsidRDefault="00B05013" w:rsidP="00B5160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>+7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Pr="003D1C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910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ХХХ ХХ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proofErr w:type="spellEnd"/>
          </w:p>
        </w:tc>
      </w:tr>
    </w:tbl>
    <w:p w:rsidR="00806DD2" w:rsidRDefault="00806DD2"/>
    <w:sectPr w:rsidR="00806DD2" w:rsidSect="0080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7D5"/>
    <w:multiLevelType w:val="hybridMultilevel"/>
    <w:tmpl w:val="C6FE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E2FB6"/>
    <w:multiLevelType w:val="hybridMultilevel"/>
    <w:tmpl w:val="2A8A5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C2445"/>
    <w:multiLevelType w:val="hybridMultilevel"/>
    <w:tmpl w:val="433E0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D4B8C"/>
    <w:multiLevelType w:val="hybridMultilevel"/>
    <w:tmpl w:val="F2707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75E43"/>
    <w:multiLevelType w:val="hybridMultilevel"/>
    <w:tmpl w:val="1960C8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4A4B"/>
    <w:multiLevelType w:val="hybridMultilevel"/>
    <w:tmpl w:val="CA26CBE2"/>
    <w:lvl w:ilvl="0" w:tplc="AD483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B05013"/>
    <w:rsid w:val="00806DD2"/>
    <w:rsid w:val="00B0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13"/>
    <w:pPr>
      <w:ind w:left="720"/>
      <w:contextualSpacing/>
    </w:pPr>
  </w:style>
  <w:style w:type="table" w:styleId="a4">
    <w:name w:val="Table Grid"/>
    <w:basedOn w:val="a1"/>
    <w:uiPriority w:val="39"/>
    <w:rsid w:val="00B0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05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fikators.ru/okved/O" TargetMode="External"/><Relationship Id="rId13" Type="http://schemas.openxmlformats.org/officeDocument/2006/relationships/hyperlink" Target="mailto:Ivanov@ab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ov@abc.ru" TargetMode="External"/><Relationship Id="rId12" Type="http://schemas.openxmlformats.org/officeDocument/2006/relationships/hyperlink" Target="mailto:Ivanov@abc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assifikators.ru/okved/O" TargetMode="External"/><Relationship Id="rId11" Type="http://schemas.openxmlformats.org/officeDocument/2006/relationships/hyperlink" Target="mailto:Ivanov@abc.ru" TargetMode="External"/><Relationship Id="rId5" Type="http://schemas.openxmlformats.org/officeDocument/2006/relationships/hyperlink" Target="mailto:Ivanov@&#1093;&#1093;&#1093;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vanov@ab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vanov@abc.ru" TargetMode="External"/><Relationship Id="rId14" Type="http://schemas.openxmlformats.org/officeDocument/2006/relationships/hyperlink" Target="mailto:Ivanov@&#1093;&#1093;&#1093;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2729</Words>
  <Characters>15556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2019-03-28T09:38:00Z</dcterms:created>
  <dcterms:modified xsi:type="dcterms:W3CDTF">2019-03-28T09:38:00Z</dcterms:modified>
</cp:coreProperties>
</file>