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F10310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F10310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513B28">
              <w:rPr>
                <w:rFonts w:ascii="Times New Roman" w:hAnsi="Times New Roman" w:cs="Times New Roman"/>
                <w:sz w:val="20"/>
              </w:rPr>
              <w:t>8.01.2019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0A2791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 xml:space="preserve">Муниципальное </w:t>
            </w:r>
            <w:r w:rsidR="000A2791">
              <w:rPr>
                <w:rFonts w:ascii="Times New Roman" w:hAnsi="Times New Roman" w:cs="Times New Roman"/>
                <w:b/>
                <w:u w:val="single"/>
              </w:rPr>
              <w:t xml:space="preserve">бюджетное 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0A2791">
              <w:rPr>
                <w:rFonts w:ascii="Times New Roman" w:hAnsi="Times New Roman" w:cs="Times New Roman"/>
                <w:b/>
                <w:u w:val="single"/>
              </w:rPr>
              <w:t>39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984838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1044">
              <w:rPr>
                <w:rFonts w:ascii="Times New Roman" w:hAnsi="Times New Roman"/>
                <w:sz w:val="20"/>
              </w:rPr>
              <w:t>46302439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6C3B82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1" w:name="_GoBack"/>
      <w:bookmarkEnd w:id="1"/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7C49" w:rsidRDefault="00197C49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7C49" w:rsidRDefault="00197C49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8" w:rsidRPr="00984838" w:rsidRDefault="00984838" w:rsidP="00984838">
            <w:pPr>
              <w:shd w:val="clear" w:color="auto" w:fill="E8F3F7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48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11Д45000300300318070100</w:t>
            </w:r>
          </w:p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984838" w:rsidRPr="00201044" w:rsidRDefault="00984838" w:rsidP="00984838">
            <w:pPr>
              <w:pStyle w:val="ad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044">
              <w:t>46649000013280260081178400030100</w:t>
            </w:r>
            <w:r w:rsidRPr="00201044">
              <w:lastRenderedPageBreak/>
              <w:t>0301001100101</w:t>
            </w:r>
          </w:p>
          <w:p w:rsidR="00F70CB7" w:rsidRPr="000D2B1F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lastRenderedPageBreak/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0A279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91655A" w:rsidRPr="000D2B1F" w:rsidRDefault="000A279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0A279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975372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975372" w:rsidP="009753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975372" w:rsidP="00975372">
            <w:pPr>
              <w:jc w:val="center"/>
              <w:rPr>
                <w:rFonts w:ascii="Times New Roman" w:hAnsi="Times New Roman"/>
              </w:rPr>
            </w:pP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197C49" w:rsidP="00513B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513B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C25A1F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C25A1F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</w:t>
            </w:r>
          </w:p>
        </w:tc>
        <w:tc>
          <w:tcPr>
            <w:tcW w:w="906" w:type="dxa"/>
          </w:tcPr>
          <w:p w:rsidR="0091655A" w:rsidRPr="000D2B1F" w:rsidRDefault="00C25A1F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C25A1F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984838" w:rsidRPr="00201044" w:rsidRDefault="00984838" w:rsidP="00984838">
            <w:pPr>
              <w:pStyle w:val="ad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044">
              <w:t>466490000132802600811784000301000301001100101</w:t>
            </w:r>
          </w:p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C25A1F" w:rsidP="00197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97C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0D2B1F" w:rsidRPr="000D2B1F" w:rsidRDefault="00C25A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0D2B1F" w:rsidRPr="00CF67F3" w:rsidRDefault="00C25A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67F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3" w:type="dxa"/>
          </w:tcPr>
          <w:p w:rsidR="000D2B1F" w:rsidRPr="00CF67F3" w:rsidRDefault="00CF67F3" w:rsidP="00C25A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F67F3">
              <w:rPr>
                <w:rFonts w:ascii="Times New Roman" w:hAnsi="Times New Roman" w:cs="Times New Roman"/>
                <w:i/>
              </w:rPr>
              <w:t>9 110,0</w:t>
            </w:r>
          </w:p>
        </w:tc>
        <w:tc>
          <w:tcPr>
            <w:tcW w:w="951" w:type="dxa"/>
            <w:gridSpan w:val="2"/>
          </w:tcPr>
          <w:p w:rsidR="000D2B1F" w:rsidRPr="00CF67F3" w:rsidRDefault="00CF67F3" w:rsidP="000D2B1F">
            <w:pPr>
              <w:rPr>
                <w:i/>
              </w:rPr>
            </w:pPr>
            <w:r w:rsidRPr="00CF67F3">
              <w:rPr>
                <w:i/>
              </w:rPr>
              <w:t>9 110,0</w:t>
            </w:r>
          </w:p>
        </w:tc>
        <w:tc>
          <w:tcPr>
            <w:tcW w:w="992" w:type="dxa"/>
          </w:tcPr>
          <w:p w:rsidR="000D2B1F" w:rsidRPr="00CF67F3" w:rsidRDefault="00CF67F3" w:rsidP="000D2B1F">
            <w:pPr>
              <w:rPr>
                <w:i/>
              </w:rPr>
            </w:pPr>
            <w:r w:rsidRPr="00CF67F3">
              <w:rPr>
                <w:i/>
              </w:rPr>
              <w:t>9 110,0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9D" w:rsidRPr="00201044" w:rsidRDefault="004F019D" w:rsidP="004F019D">
            <w:pPr>
              <w:shd w:val="clear" w:color="auto" w:fill="E8F3F7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010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11785001100600006006100</w:t>
            </w:r>
          </w:p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4F019D" w:rsidRPr="00201044" w:rsidRDefault="004F019D" w:rsidP="004F019D">
            <w:pPr>
              <w:pStyle w:val="ad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044">
              <w:lastRenderedPageBreak/>
              <w:t>466490000132802600811784000301000301001100101</w:t>
            </w:r>
          </w:p>
          <w:p w:rsidR="00741AB7" w:rsidRPr="000D2B1F" w:rsidRDefault="00741AB7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4F019D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Default="004F019D" w:rsidP="00AE3A78">
            <w:pPr>
              <w:jc w:val="center"/>
            </w:pPr>
            <w: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4F019D" w:rsidP="00AE3A78">
            <w:pPr>
              <w:jc w:val="center"/>
            </w:pPr>
            <w:r>
              <w:t>-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C94BF5" w:rsidP="00C94BF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11238</w:t>
            </w:r>
          </w:p>
        </w:tc>
        <w:tc>
          <w:tcPr>
            <w:tcW w:w="906" w:type="dxa"/>
          </w:tcPr>
          <w:p w:rsidR="00AE3A78" w:rsidRPr="00BF017E" w:rsidRDefault="00C94BF5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11238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197C49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11238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C94BF5" w:rsidP="00513B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513B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6" w:type="dxa"/>
          </w:tcPr>
          <w:p w:rsidR="000263D6" w:rsidRPr="005C5423" w:rsidRDefault="004F019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4F019D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25A1F" w:rsidRPr="007C45DF" w:rsidTr="00852E52">
        <w:tc>
          <w:tcPr>
            <w:tcW w:w="1196" w:type="dxa"/>
            <w:tcBorders>
              <w:left w:val="nil"/>
            </w:tcBorders>
          </w:tcPr>
          <w:p w:rsidR="004F019D" w:rsidRPr="00201044" w:rsidRDefault="004F019D" w:rsidP="004F019D">
            <w:pPr>
              <w:pStyle w:val="ad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044">
              <w:t>4664900</w:t>
            </w:r>
            <w:r w:rsidRPr="00201044">
              <w:lastRenderedPageBreak/>
              <w:t>00132802600811784000301000301001100101</w:t>
            </w:r>
          </w:p>
          <w:p w:rsidR="00C25A1F" w:rsidRPr="000D2B1F" w:rsidRDefault="00C25A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A1F" w:rsidRPr="00F70CB7" w:rsidRDefault="00C25A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C25A1F" w:rsidRPr="00F70CB7" w:rsidRDefault="00C25A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C25A1F" w:rsidRPr="00F70CB7" w:rsidRDefault="00C25A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C25A1F" w:rsidRPr="00F70CB7" w:rsidRDefault="00C25A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C25A1F" w:rsidRPr="007C45DF" w:rsidRDefault="00C25A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A1F" w:rsidRPr="00975372" w:rsidRDefault="00C25A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C25A1F" w:rsidRPr="00975372" w:rsidRDefault="00C25A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C25A1F" w:rsidRPr="00DB6DDD" w:rsidRDefault="00C25A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C25A1F" w:rsidRPr="000D2B1F" w:rsidRDefault="00C25A1F" w:rsidP="00513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13B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C25A1F" w:rsidRPr="000D2B1F" w:rsidRDefault="00C25A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C25A1F" w:rsidRPr="000D2B1F" w:rsidRDefault="00C25A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3" w:type="dxa"/>
          </w:tcPr>
          <w:p w:rsidR="00C25A1F" w:rsidRPr="00C62B5A" w:rsidRDefault="00CF67F3" w:rsidP="00C25A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3 036,7</w:t>
            </w:r>
          </w:p>
        </w:tc>
        <w:tc>
          <w:tcPr>
            <w:tcW w:w="890" w:type="dxa"/>
          </w:tcPr>
          <w:p w:rsidR="00C25A1F" w:rsidRDefault="00CF67F3">
            <w:r>
              <w:t>3 036,7</w:t>
            </w:r>
          </w:p>
        </w:tc>
        <w:tc>
          <w:tcPr>
            <w:tcW w:w="871" w:type="dxa"/>
          </w:tcPr>
          <w:p w:rsidR="00C25A1F" w:rsidRDefault="00CF67F3">
            <w:r>
              <w:t>3 036,7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840"/>
        <w:gridCol w:w="5529"/>
      </w:tblGrid>
      <w:tr w:rsidR="00975372" w:rsidRPr="007C45DF" w:rsidTr="004F019D">
        <w:tc>
          <w:tcPr>
            <w:tcW w:w="1007" w:type="pct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208" w:type="pct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1785" w:type="pct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4F019D">
        <w:tc>
          <w:tcPr>
            <w:tcW w:w="1007" w:type="pct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8" w:type="pct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5" w:type="pct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4F019D">
        <w:tc>
          <w:tcPr>
            <w:tcW w:w="1007" w:type="pct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2208" w:type="pct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1785" w:type="pct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4F019D">
        <w:tc>
          <w:tcPr>
            <w:tcW w:w="1007" w:type="pct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08" w:type="pct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5" w:type="pct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74"/>
        <w:gridCol w:w="4234"/>
        <w:gridCol w:w="4080"/>
      </w:tblGrid>
      <w:tr w:rsidR="00AB6645" w:rsidRPr="0074346C" w:rsidTr="004F019D">
        <w:tc>
          <w:tcPr>
            <w:tcW w:w="2316" w:type="pct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Форма контроля</w:t>
            </w:r>
          </w:p>
        </w:tc>
        <w:tc>
          <w:tcPr>
            <w:tcW w:w="1367" w:type="pct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" w:type="pct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1367" w:type="pct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1367" w:type="pct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1367" w:type="pct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1367" w:type="pct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4F019D">
        <w:tc>
          <w:tcPr>
            <w:tcW w:w="2316" w:type="pct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1367" w:type="pct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1318" w:type="pct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F0A" w:rsidRDefault="000F0F0A" w:rsidP="009E0CC7">
      <w:pPr>
        <w:spacing w:after="0" w:line="240" w:lineRule="auto"/>
      </w:pPr>
      <w:r>
        <w:separator/>
      </w:r>
    </w:p>
  </w:endnote>
  <w:endnote w:type="continuationSeparator" w:id="0">
    <w:p w:rsidR="000F0F0A" w:rsidRDefault="000F0F0A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F0A" w:rsidRDefault="000F0F0A" w:rsidP="009E0CC7">
      <w:pPr>
        <w:spacing w:after="0" w:line="240" w:lineRule="auto"/>
      </w:pPr>
      <w:r>
        <w:separator/>
      </w:r>
    </w:p>
  </w:footnote>
  <w:footnote w:type="continuationSeparator" w:id="0">
    <w:p w:rsidR="000F0F0A" w:rsidRDefault="000F0F0A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791"/>
    <w:rsid w:val="000A2E96"/>
    <w:rsid w:val="000D2B1F"/>
    <w:rsid w:val="000D52BB"/>
    <w:rsid w:val="000D6BA9"/>
    <w:rsid w:val="000F0F0A"/>
    <w:rsid w:val="00105CBC"/>
    <w:rsid w:val="00122189"/>
    <w:rsid w:val="00135D22"/>
    <w:rsid w:val="001466E8"/>
    <w:rsid w:val="00147B02"/>
    <w:rsid w:val="0016419C"/>
    <w:rsid w:val="00187F94"/>
    <w:rsid w:val="00197C49"/>
    <w:rsid w:val="001B7801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3054"/>
    <w:rsid w:val="004757B4"/>
    <w:rsid w:val="00481402"/>
    <w:rsid w:val="00485050"/>
    <w:rsid w:val="00486300"/>
    <w:rsid w:val="004877FB"/>
    <w:rsid w:val="004C0821"/>
    <w:rsid w:val="004E0335"/>
    <w:rsid w:val="004E78EB"/>
    <w:rsid w:val="004F019D"/>
    <w:rsid w:val="00501610"/>
    <w:rsid w:val="00513B28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C3B82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7502F"/>
    <w:rsid w:val="00782D27"/>
    <w:rsid w:val="0079085E"/>
    <w:rsid w:val="00794356"/>
    <w:rsid w:val="007B5019"/>
    <w:rsid w:val="007C45DF"/>
    <w:rsid w:val="007D1FE6"/>
    <w:rsid w:val="007D5AAA"/>
    <w:rsid w:val="007F6334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84838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25A1F"/>
    <w:rsid w:val="00C37E80"/>
    <w:rsid w:val="00C430D0"/>
    <w:rsid w:val="00C62B5A"/>
    <w:rsid w:val="00C62EBC"/>
    <w:rsid w:val="00C66170"/>
    <w:rsid w:val="00C94BF5"/>
    <w:rsid w:val="00CA4904"/>
    <w:rsid w:val="00CB2FAF"/>
    <w:rsid w:val="00CE1C56"/>
    <w:rsid w:val="00CF67F3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F10310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7C98F"/>
  <w15:docId w15:val="{A0B202C0-6CAC-481D-B5CA-FDC0A3D3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84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3BAB2-4C7F-477D-BAD2-67323489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14792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10</cp:revision>
  <cp:lastPrinted>2019-01-21T08:41:00Z</cp:lastPrinted>
  <dcterms:created xsi:type="dcterms:W3CDTF">2019-01-18T11:44:00Z</dcterms:created>
  <dcterms:modified xsi:type="dcterms:W3CDTF">2019-08-23T13:45:00Z</dcterms:modified>
</cp:coreProperties>
</file>