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A0" w:rsidRPr="00127D69" w:rsidRDefault="001E38A0" w:rsidP="001E38A0">
      <w:pPr>
        <w:tabs>
          <w:tab w:val="left" w:pos="4076"/>
        </w:tabs>
        <w:rPr>
          <w:b/>
          <w:bCs/>
          <w:spacing w:val="40"/>
          <w:sz w:val="40"/>
          <w:szCs w:val="40"/>
        </w:rPr>
      </w:pPr>
      <w:r w:rsidRPr="0095024D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175260</wp:posOffset>
            </wp:positionV>
            <wp:extent cx="626745" cy="762000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8A0" w:rsidRPr="00073460" w:rsidRDefault="001E38A0" w:rsidP="001E38A0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073460">
        <w:rPr>
          <w:b/>
          <w:bCs/>
          <w:sz w:val="28"/>
          <w:szCs w:val="28"/>
        </w:rPr>
        <w:t>ГЛАВА РУЗСКОГО ГОРОДСКОГО ОКРУГА</w:t>
      </w:r>
    </w:p>
    <w:p w:rsidR="001E38A0" w:rsidRPr="00073460" w:rsidRDefault="001E38A0" w:rsidP="001E38A0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1E38A0" w:rsidRPr="00461830" w:rsidRDefault="001E38A0" w:rsidP="001E38A0"/>
    <w:p w:rsidR="001E38A0" w:rsidRDefault="001E38A0" w:rsidP="001E38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E38A0" w:rsidRDefault="001E38A0" w:rsidP="001E38A0">
      <w:pPr>
        <w:jc w:val="center"/>
      </w:pPr>
    </w:p>
    <w:p w:rsidR="001E38A0" w:rsidRPr="006B4D29" w:rsidRDefault="001E38A0" w:rsidP="001E38A0">
      <w:pPr>
        <w:jc w:val="center"/>
      </w:pPr>
      <w:r w:rsidRPr="00127D69">
        <w:t xml:space="preserve">от </w:t>
      </w:r>
      <w:r>
        <w:t>_______</w:t>
      </w:r>
      <w:r w:rsidRPr="00127D69">
        <w:t>___________________ №_</w:t>
      </w:r>
      <w:r w:rsidRPr="006B4D29">
        <w:t>______</w:t>
      </w:r>
    </w:p>
    <w:p w:rsidR="001E38A0" w:rsidRDefault="001E38A0" w:rsidP="001E38A0">
      <w:pPr>
        <w:jc w:val="right"/>
      </w:pPr>
      <w:r w:rsidRPr="006B4D29">
        <w:tab/>
      </w:r>
    </w:p>
    <w:p w:rsidR="001E38A0" w:rsidRPr="00BF4DAD" w:rsidRDefault="001E38A0" w:rsidP="001E38A0">
      <w:pPr>
        <w:tabs>
          <w:tab w:val="left" w:pos="4076"/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Рузского муниципального района «Энергосбережение и повышение энергетической эффективности на территории Рузского муниципального района на 2015-2019 годы», утвержденную постановлением администрации Рузского муниципального района от 15.10.2014 № 2606 «Об утверждении муниципальной программы Рузского муниципального района «</w:t>
      </w:r>
      <w:r w:rsidRPr="00BF4DAD">
        <w:rPr>
          <w:b/>
          <w:sz w:val="28"/>
          <w:szCs w:val="28"/>
        </w:rPr>
        <w:t xml:space="preserve">Энергосбережение и повышение энергетической эффективности на территории Рузского муниципального района на 2015-2019 годы» </w:t>
      </w:r>
      <w:r w:rsidRPr="00BF4DAD">
        <w:rPr>
          <w:rFonts w:eastAsia="Times New Roman"/>
          <w:b/>
          <w:sz w:val="28"/>
          <w:szCs w:val="28"/>
        </w:rPr>
        <w:t>(в редакции от 28.12.201</w:t>
      </w:r>
      <w:r>
        <w:rPr>
          <w:rFonts w:eastAsia="Times New Roman"/>
          <w:b/>
          <w:sz w:val="28"/>
          <w:szCs w:val="28"/>
        </w:rPr>
        <w:t>5</w:t>
      </w:r>
      <w:r w:rsidRPr="00BF4DAD">
        <w:rPr>
          <w:rFonts w:eastAsia="Times New Roman"/>
          <w:b/>
          <w:sz w:val="28"/>
          <w:szCs w:val="28"/>
        </w:rPr>
        <w:t xml:space="preserve"> №</w:t>
      </w:r>
      <w:r>
        <w:rPr>
          <w:rFonts w:eastAsia="Times New Roman"/>
          <w:b/>
          <w:sz w:val="28"/>
          <w:szCs w:val="28"/>
        </w:rPr>
        <w:t>2098; от 18.03.2016 №645; от 24.08.2016 №2490, от 14.12.2016 №4032</w:t>
      </w:r>
      <w:r w:rsidRPr="00BF4DAD">
        <w:rPr>
          <w:rFonts w:eastAsia="Times New Roman"/>
          <w:b/>
          <w:sz w:val="28"/>
          <w:szCs w:val="28"/>
        </w:rPr>
        <w:t>)</w:t>
      </w:r>
    </w:p>
    <w:p w:rsidR="001E38A0" w:rsidRDefault="001E38A0" w:rsidP="001E38A0">
      <w:pPr>
        <w:tabs>
          <w:tab w:val="left" w:pos="4076"/>
          <w:tab w:val="left" w:pos="5954"/>
        </w:tabs>
        <w:jc w:val="center"/>
        <w:rPr>
          <w:b/>
          <w:sz w:val="28"/>
          <w:szCs w:val="28"/>
        </w:rPr>
      </w:pPr>
    </w:p>
    <w:p w:rsidR="001E38A0" w:rsidRDefault="001E38A0" w:rsidP="001E38A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314F">
        <w:rPr>
          <w:sz w:val="28"/>
          <w:szCs w:val="28"/>
        </w:rPr>
        <w:t>соответствии с</w:t>
      </w:r>
      <w:r w:rsidRPr="009D314F">
        <w:rPr>
          <w:sz w:val="28"/>
        </w:rPr>
        <w:t xml:space="preserve"> </w:t>
      </w:r>
      <w:r>
        <w:rPr>
          <w:sz w:val="28"/>
          <w:szCs w:val="28"/>
        </w:rPr>
        <w:t xml:space="preserve">Бюджетным кодексом Российской Федерации, Федеральным Законом </w:t>
      </w:r>
      <w:r w:rsidRPr="00744AFA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г. № 131-ФЗ </w:t>
      </w:r>
      <w:r w:rsidRPr="00744AF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t xml:space="preserve"> </w:t>
      </w:r>
      <w:r>
        <w:rPr>
          <w:sz w:val="28"/>
          <w:szCs w:val="28"/>
        </w:rPr>
        <w:t>(</w:t>
      </w:r>
      <w:r w:rsidRPr="00744AFA">
        <w:rPr>
          <w:sz w:val="28"/>
          <w:szCs w:val="28"/>
        </w:rPr>
        <w:t>с изменениями и дополнениями)</w:t>
      </w:r>
      <w:r>
        <w:rPr>
          <w:sz w:val="28"/>
          <w:szCs w:val="28"/>
        </w:rPr>
        <w:t xml:space="preserve">, </w:t>
      </w:r>
      <w:r w:rsidRPr="00744AFA">
        <w:rPr>
          <w:sz w:val="28"/>
          <w:szCs w:val="28"/>
        </w:rPr>
        <w:t>Федеральным законом от 23.11.2009г. №</w:t>
      </w:r>
      <w:r>
        <w:rPr>
          <w:sz w:val="28"/>
          <w:szCs w:val="28"/>
        </w:rPr>
        <w:t xml:space="preserve"> </w:t>
      </w:r>
      <w:r w:rsidRPr="00744AFA">
        <w:rPr>
          <w:sz w:val="28"/>
          <w:szCs w:val="28"/>
        </w:rPr>
        <w:t>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принимая во внимание государственную программу Московской области «Энергоэффективность и развитие энергетики», утвержденную Постановлением Правительства </w:t>
      </w:r>
      <w:r>
        <w:rPr>
          <w:sz w:val="28"/>
          <w:szCs w:val="28"/>
        </w:rPr>
        <w:lastRenderedPageBreak/>
        <w:t>Московской области от 07.08.2013г. № 595/31, Постановлением Правительства Московской области от 17.08.2015г. № 715/29 «О внесении изменений в Постановление Правительства Московской области от 25.03.2013г. № 208/8 «Об утверждении Порядка разработки и реализации государственных программ Московской области», Порядок разработки и реализации государственных программ Московской области», Постановление администрации Рузского муниципального района от 03.11.2015г. № 2077 «О внесении изменений в Порядок разработки и реализации  муниципальных программ Рузского муниципального района, утвержденным Постановлением администрации Рузского муниципального района от 24.12.2014г. № 3285 «Об утверждении порядка разработки и реализации муниципальных программ Рузского муниципального района», руководствуясь Уставом Рузского муниципального района, постановляю</w:t>
      </w:r>
      <w:r>
        <w:rPr>
          <w:color w:val="000000"/>
          <w:sz w:val="28"/>
          <w:szCs w:val="28"/>
        </w:rPr>
        <w:t>:</w:t>
      </w:r>
    </w:p>
    <w:p w:rsidR="001E38A0" w:rsidRDefault="001E38A0" w:rsidP="001E38A0">
      <w:pPr>
        <w:tabs>
          <w:tab w:val="left" w:pos="0"/>
        </w:tabs>
        <w:jc w:val="both"/>
        <w:rPr>
          <w:sz w:val="28"/>
          <w:szCs w:val="28"/>
        </w:rPr>
      </w:pPr>
    </w:p>
    <w:p w:rsidR="001E38A0" w:rsidRDefault="001E38A0" w:rsidP="001E38A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13116D">
        <w:rPr>
          <w:rFonts w:eastAsia="Times New Roman"/>
          <w:sz w:val="28"/>
          <w:szCs w:val="28"/>
        </w:rPr>
        <w:t xml:space="preserve">Муниципальную программу </w:t>
      </w:r>
      <w:r w:rsidRPr="00E10DC9">
        <w:rPr>
          <w:sz w:val="28"/>
          <w:szCs w:val="28"/>
        </w:rPr>
        <w:t>Рузского муниципального района «Энергосбережение и повышение энергетической эффективности на территории Рузского муниципального района на 2015-2019 годы»</w:t>
      </w:r>
      <w:r>
        <w:rPr>
          <w:sz w:val="28"/>
          <w:szCs w:val="28"/>
        </w:rPr>
        <w:t xml:space="preserve">, утвержденную постановлением администрации Рузского муниципального района от 15.10.2014 </w:t>
      </w:r>
      <w:r>
        <w:rPr>
          <w:sz w:val="28"/>
          <w:szCs w:val="28"/>
        </w:rPr>
        <w:br/>
        <w:t>№2606 (в редакции от</w:t>
      </w:r>
      <w:r w:rsidRPr="00E10DC9">
        <w:rPr>
          <w:sz w:val="28"/>
          <w:szCs w:val="28"/>
        </w:rPr>
        <w:t xml:space="preserve"> </w:t>
      </w:r>
      <w:r>
        <w:rPr>
          <w:sz w:val="28"/>
          <w:szCs w:val="28"/>
        </w:rPr>
        <w:t>28.12.2015 №2698, от 18.03.2016 №645, от 24.08.2016 №2490, от 14.12.2016 №4032)</w:t>
      </w:r>
      <w:r w:rsidRPr="00FC63F6">
        <w:rPr>
          <w:rFonts w:eastAsia="Times New Roman"/>
          <w:sz w:val="28"/>
          <w:szCs w:val="28"/>
        </w:rPr>
        <w:t xml:space="preserve"> </w:t>
      </w:r>
      <w:r w:rsidRPr="0013116D">
        <w:rPr>
          <w:rFonts w:eastAsia="Times New Roman"/>
          <w:sz w:val="28"/>
          <w:szCs w:val="28"/>
        </w:rPr>
        <w:t>изложить в новой редакции (</w:t>
      </w:r>
      <w:r>
        <w:rPr>
          <w:rFonts w:eastAsia="Times New Roman"/>
          <w:sz w:val="28"/>
          <w:szCs w:val="28"/>
        </w:rPr>
        <w:t>прилагается</w:t>
      </w:r>
      <w:r w:rsidRPr="0013116D">
        <w:rPr>
          <w:rFonts w:eastAsia="Times New Roman"/>
          <w:sz w:val="28"/>
          <w:szCs w:val="28"/>
        </w:rPr>
        <w:t>).</w:t>
      </w:r>
    </w:p>
    <w:p w:rsidR="001E38A0" w:rsidRDefault="001E38A0" w:rsidP="001E38A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815082">
        <w:rPr>
          <w:rFonts w:eastAsia="Times New Roman"/>
          <w:sz w:val="28"/>
          <w:szCs w:val="28"/>
        </w:rPr>
        <w:t>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:rsidR="001E38A0" w:rsidRPr="00815082" w:rsidRDefault="001E38A0" w:rsidP="001E38A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815082">
        <w:rPr>
          <w:rFonts w:eastAsia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>
        <w:rPr>
          <w:rFonts w:eastAsia="Times New Roman"/>
          <w:sz w:val="28"/>
          <w:szCs w:val="28"/>
        </w:rPr>
        <w:t xml:space="preserve">администрации </w:t>
      </w:r>
      <w:r w:rsidRPr="00815082">
        <w:rPr>
          <w:rFonts w:eastAsia="Times New Roman"/>
          <w:sz w:val="28"/>
          <w:szCs w:val="28"/>
        </w:rPr>
        <w:t xml:space="preserve">Рузского городского округа </w:t>
      </w:r>
      <w:r>
        <w:rPr>
          <w:rFonts w:eastAsia="Times New Roman"/>
          <w:sz w:val="28"/>
          <w:szCs w:val="28"/>
        </w:rPr>
        <w:t>Рыбакова</w:t>
      </w:r>
      <w:r w:rsidRPr="00815082">
        <w:rPr>
          <w:rFonts w:eastAsia="Times New Roman"/>
          <w:sz w:val="28"/>
          <w:szCs w:val="28"/>
        </w:rPr>
        <w:t xml:space="preserve"> А.В.</w:t>
      </w:r>
    </w:p>
    <w:p w:rsidR="001E38A0" w:rsidRDefault="001E38A0" w:rsidP="001E38A0">
      <w:pPr>
        <w:ind w:left="720"/>
        <w:jc w:val="both"/>
        <w:rPr>
          <w:rFonts w:eastAsia="Times New Roman"/>
          <w:sz w:val="28"/>
          <w:szCs w:val="28"/>
        </w:rPr>
      </w:pPr>
    </w:p>
    <w:p w:rsidR="001E38A0" w:rsidRPr="0013116D" w:rsidRDefault="001E38A0" w:rsidP="001E38A0">
      <w:pPr>
        <w:ind w:left="720"/>
        <w:jc w:val="both"/>
        <w:rPr>
          <w:rFonts w:eastAsia="Times New Roman"/>
          <w:sz w:val="28"/>
          <w:szCs w:val="28"/>
        </w:rPr>
      </w:pPr>
    </w:p>
    <w:p w:rsidR="001E38A0" w:rsidRDefault="001E38A0" w:rsidP="001E38A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городского округа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</w:t>
      </w:r>
      <w:r w:rsidRPr="0013116D">
        <w:rPr>
          <w:rFonts w:eastAsia="Times New Roman"/>
          <w:sz w:val="28"/>
          <w:szCs w:val="28"/>
        </w:rPr>
        <w:t>М.В. Тарханов</w:t>
      </w:r>
    </w:p>
    <w:p w:rsidR="000944FD" w:rsidRDefault="000944FD"/>
    <w:p w:rsidR="000944FD" w:rsidRDefault="000944FD">
      <w:r>
        <w:br w:type="page"/>
      </w: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5420"/>
        <w:gridCol w:w="1668"/>
        <w:gridCol w:w="1701"/>
        <w:gridCol w:w="1701"/>
        <w:gridCol w:w="1559"/>
        <w:gridCol w:w="1760"/>
        <w:gridCol w:w="1784"/>
      </w:tblGrid>
      <w:tr w:rsidR="001E38A0" w:rsidTr="009F142D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       </w:t>
            </w:r>
            <w:r>
              <w:rPr>
                <w:color w:val="000000"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№1</w:t>
            </w:r>
          </w:p>
        </w:tc>
      </w:tr>
      <w:tr w:rsidR="001E38A0" w:rsidTr="009F142D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Постановлению №______________ от _______________________ </w:t>
            </w:r>
          </w:p>
        </w:tc>
      </w:tr>
      <w:tr w:rsidR="001E38A0" w:rsidTr="009F142D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</w:tr>
      <w:tr w:rsidR="001E38A0" w:rsidTr="009F142D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sz w:val="20"/>
                <w:szCs w:val="20"/>
              </w:rPr>
            </w:pPr>
          </w:p>
        </w:tc>
      </w:tr>
      <w:tr w:rsidR="001E38A0" w:rsidTr="009F142D">
        <w:trPr>
          <w:trHeight w:val="570"/>
        </w:trPr>
        <w:tc>
          <w:tcPr>
            <w:tcW w:w="15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jc w:val="center"/>
            </w:pPr>
            <w:r>
              <w:rPr>
                <w:b/>
                <w:bCs/>
              </w:rPr>
              <w:t>Паспорт муниципальной программы</w:t>
            </w:r>
            <w:r>
              <w:t xml:space="preserve">         </w:t>
            </w:r>
            <w:r>
              <w:rPr>
                <w:b/>
                <w:bCs/>
              </w:rPr>
              <w:t>"</w:t>
            </w:r>
            <w:r>
              <w:rPr>
                <w:b/>
                <w:bCs/>
                <w:u w:val="single"/>
              </w:rPr>
              <w:t xml:space="preserve">Энергосбережение и повышение энергетической эффективности </w:t>
            </w:r>
          </w:p>
        </w:tc>
      </w:tr>
      <w:tr w:rsidR="001E38A0" w:rsidTr="009F142D">
        <w:trPr>
          <w:trHeight w:val="300"/>
        </w:trPr>
        <w:tc>
          <w:tcPr>
            <w:tcW w:w="15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  <w:r>
              <w:rPr>
                <w:b/>
                <w:bCs/>
                <w:u w:val="single"/>
              </w:rPr>
              <w:t>на территории Рузского муниципального района"</w:t>
            </w:r>
          </w:p>
        </w:tc>
      </w:tr>
      <w:tr w:rsidR="001E38A0" w:rsidTr="009F142D">
        <w:trPr>
          <w:trHeight w:val="300"/>
        </w:trPr>
        <w:tc>
          <w:tcPr>
            <w:tcW w:w="15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jc w:val="center"/>
            </w:pPr>
            <w:r>
              <w:t xml:space="preserve">  на срок </w:t>
            </w:r>
            <w:r>
              <w:rPr>
                <w:b/>
                <w:bCs/>
                <w:u w:val="single"/>
              </w:rPr>
              <w:t>2015-2019 годы"</w:t>
            </w:r>
          </w:p>
        </w:tc>
      </w:tr>
      <w:tr w:rsidR="001E38A0" w:rsidTr="009F142D">
        <w:trPr>
          <w:trHeight w:val="30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Координатор муниципальной программы</w:t>
            </w:r>
          </w:p>
        </w:tc>
        <w:tc>
          <w:tcPr>
            <w:tcW w:w="10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Заместитель руководителя администрации Рузского муниципального района - Рыбаков Артём Владимирович</w:t>
            </w:r>
          </w:p>
        </w:tc>
      </w:tr>
      <w:tr w:rsidR="001E38A0" w:rsidTr="009F142D">
        <w:trPr>
          <w:trHeight w:val="8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Муниципальный заказчик муниципальной программы</w:t>
            </w:r>
          </w:p>
        </w:tc>
        <w:tc>
          <w:tcPr>
            <w:tcW w:w="10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 w:rsidP="001E38A0">
            <w:r>
              <w:t>Администрация Рузского муниципального района, Управление жилищно-коммунального хозяйства Администрации Рузского муниципального района.</w:t>
            </w:r>
          </w:p>
        </w:tc>
      </w:tr>
      <w:tr w:rsidR="001E38A0" w:rsidTr="009F142D">
        <w:trPr>
          <w:trHeight w:val="6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Цели муниципальной программы</w:t>
            </w:r>
          </w:p>
        </w:tc>
        <w:tc>
          <w:tcPr>
            <w:tcW w:w="10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1E38A0" w:rsidTr="009F142D">
        <w:trPr>
          <w:trHeight w:val="6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Перечень подпрограмм</w:t>
            </w:r>
          </w:p>
        </w:tc>
        <w:tc>
          <w:tcPr>
            <w:tcW w:w="10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-</w:t>
            </w:r>
          </w:p>
        </w:tc>
      </w:tr>
      <w:tr w:rsidR="001E38A0" w:rsidTr="009F142D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Источники финансирования муниципальной программы,</w:t>
            </w:r>
          </w:p>
        </w:tc>
        <w:tc>
          <w:tcPr>
            <w:tcW w:w="10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1E38A0" w:rsidTr="009F142D">
        <w:trPr>
          <w:trHeight w:val="675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center"/>
            </w:pPr>
            <w:r>
              <w:t>в том числе по годам: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2017г.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2018г.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2019г.</w:t>
            </w:r>
          </w:p>
        </w:tc>
      </w:tr>
      <w:tr w:rsidR="001E38A0" w:rsidTr="009F142D">
        <w:trPr>
          <w:trHeight w:val="423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8A0" w:rsidRDefault="001E38A0"/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8A0" w:rsidRDefault="001E38A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8A0" w:rsidRDefault="001E38A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8A0" w:rsidRDefault="001E38A0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8A0" w:rsidRDefault="001E38A0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8A0" w:rsidRDefault="001E38A0">
            <w:pPr>
              <w:rPr>
                <w:b/>
                <w:bCs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8A0" w:rsidRDefault="001E38A0">
            <w:pPr>
              <w:rPr>
                <w:b/>
                <w:bCs/>
              </w:rPr>
            </w:pPr>
          </w:p>
        </w:tc>
      </w:tr>
      <w:tr w:rsidR="001E38A0" w:rsidTr="009F142D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8A0" w:rsidRDefault="001E38A0">
            <w:r>
              <w:t>Средства бюджета Рузского муниципального района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307,80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600,00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0,00</w:t>
            </w:r>
          </w:p>
        </w:tc>
      </w:tr>
      <w:tr w:rsidR="001E38A0" w:rsidTr="009F142D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8A0" w:rsidRDefault="001E38A0">
            <w: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</w:tr>
      <w:tr w:rsidR="001E38A0" w:rsidTr="009F142D">
        <w:trPr>
          <w:trHeight w:val="3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8A0" w:rsidRDefault="001E38A0">
            <w:r>
              <w:t>Средства федерального бюджета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</w:tr>
      <w:tr w:rsidR="001E38A0" w:rsidTr="009F142D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8A0" w:rsidRDefault="001E38A0">
            <w:r>
              <w:lastRenderedPageBreak/>
              <w:t>Средства бюджетов городских и сельских поселений Рузского муниципального района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41 331,93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28 783,35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7 548,58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0,00</w:t>
            </w:r>
          </w:p>
        </w:tc>
      </w:tr>
      <w:tr w:rsidR="001E38A0" w:rsidTr="009F142D">
        <w:trPr>
          <w:trHeight w:val="6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8A0" w:rsidRDefault="001E38A0">
            <w:r>
              <w:t>Внебюджетные источники (РТК)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95 804,00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10 450,00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25 254,00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35 400,00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24 700,00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</w:pPr>
            <w:r>
              <w:t>0,00</w:t>
            </w:r>
          </w:p>
        </w:tc>
      </w:tr>
      <w:tr w:rsidR="001E38A0" w:rsidTr="009F142D">
        <w:trPr>
          <w:trHeight w:val="130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8A0" w:rsidRDefault="001E38A0">
            <w: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r>
              <w:t> </w:t>
            </w:r>
          </w:p>
        </w:tc>
      </w:tr>
      <w:tr w:rsidR="001E38A0" w:rsidTr="009F142D">
        <w:trPr>
          <w:trHeight w:val="117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138 043,73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54 345,15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43 548,58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24 700,00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E38A0" w:rsidTr="009F142D">
        <w:trPr>
          <w:trHeight w:val="79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2017г.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2018г.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2019г.</w:t>
            </w:r>
          </w:p>
        </w:tc>
      </w:tr>
      <w:tr w:rsidR="001E38A0" w:rsidTr="009F142D">
        <w:trPr>
          <w:trHeight w:val="6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E38A0" w:rsidTr="009F142D">
        <w:trPr>
          <w:trHeight w:val="7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Доля многоквартирных домов, оснащенных общедомовыми приборами учета потребляемых энергетических ресурсов,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1E38A0" w:rsidTr="009F142D">
        <w:trPr>
          <w:trHeight w:val="7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Удельный суммарный расход энергетических ресурсов в многоквартирных домах (в расчете на 1 кв. метр общей площади)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1E38A0" w:rsidTr="009F142D">
        <w:trPr>
          <w:trHeight w:val="64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 w:rsidP="009F14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Удельная величина потребления энергетических ресурсов в МКД: ЭЛЕКТРИЧЕСКАЯ энергия,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кВт.ч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 1 проживающего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673,00</w:t>
            </w:r>
          </w:p>
        </w:tc>
      </w:tr>
      <w:tr w:rsidR="001E38A0" w:rsidTr="009F142D">
        <w:trPr>
          <w:trHeight w:val="7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 w:rsidP="009F14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Удельная величина потребления энергетических ресурсов в МКД: ТЕПЛОВАЯ энергия, Гкал на 1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кв.м</w:t>
            </w:r>
            <w:proofErr w:type="spellEnd"/>
            <w:r>
              <w:rPr>
                <w:rFonts w:ascii="Calibri" w:hAnsi="Calibri" w:cs="Calibri"/>
                <w:color w:val="000000"/>
              </w:rPr>
              <w:t>. общей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0,22</w:t>
            </w:r>
          </w:p>
        </w:tc>
      </w:tr>
      <w:tr w:rsidR="001E38A0" w:rsidTr="009F142D">
        <w:trPr>
          <w:trHeight w:val="64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 w:rsidP="009F14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Удельная величина потребления энергетических ресурсов в МКД: ГОРЯЧАЯ ВОДА,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куб.м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 1 проживающего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19,00</w:t>
            </w:r>
          </w:p>
        </w:tc>
      </w:tr>
      <w:tr w:rsidR="001E38A0" w:rsidTr="009F142D">
        <w:trPr>
          <w:trHeight w:val="64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 w:rsidP="009F14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Удельная величина потребления энергетических ресурсов в МКД: ХОЛОДНАЯ ВОДА,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куб.м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 1 проживающего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</w:tr>
      <w:tr w:rsidR="001E38A0" w:rsidTr="009F142D">
        <w:trPr>
          <w:trHeight w:val="97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Удельный суммарный расход энергетических ресурсов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0,036</w:t>
            </w:r>
          </w:p>
        </w:tc>
      </w:tr>
      <w:tr w:rsidR="001E38A0" w:rsidTr="009F142D">
        <w:trPr>
          <w:trHeight w:val="94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Доля зданий, строений, сооружений, занимаемых организациями бюджетной сферы, оборудованных автоматизированными индивидуальными тепловыми пунктами (ИТП),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1E38A0" w:rsidTr="009F142D">
        <w:trPr>
          <w:trHeight w:val="97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Доля приборов учета энергетических ресурсов в общем объеме приборов учета энергетических ресурсов, охваченных автоматизированными системами контроля учета энергетических ресурсов,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1E38A0" w:rsidTr="009F142D">
        <w:trPr>
          <w:trHeight w:val="87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Удельная величина потребления энергетических ресурсов муниципальными бюджетными </w:t>
            </w:r>
            <w:proofErr w:type="spellStart"/>
            <w:r>
              <w:rPr>
                <w:rFonts w:ascii="Calibri" w:hAnsi="Calibri" w:cs="Calibri"/>
                <w:color w:val="000000"/>
              </w:rPr>
              <w:t>учереждениями</w:t>
            </w:r>
            <w:proofErr w:type="spellEnd"/>
            <w:r>
              <w:rPr>
                <w:rFonts w:ascii="Calibri" w:hAnsi="Calibri" w:cs="Calibri"/>
                <w:color w:val="000000"/>
              </w:rPr>
              <w:t>: ЭЛЕКТРИЧЕСКАЯ энергия, кВт/час на 1 человека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43,75</w:t>
            </w:r>
          </w:p>
        </w:tc>
      </w:tr>
      <w:tr w:rsidR="001E38A0" w:rsidTr="009F142D">
        <w:trPr>
          <w:trHeight w:val="97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Удельная величина потребления энергетических ресурсов муниципальными бюджетными </w:t>
            </w:r>
            <w:proofErr w:type="spellStart"/>
            <w:r>
              <w:rPr>
                <w:rFonts w:ascii="Calibri" w:hAnsi="Calibri" w:cs="Calibri"/>
                <w:color w:val="000000"/>
              </w:rPr>
              <w:t>учереждениями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ТЕПЛОВАЯ </w:t>
            </w:r>
            <w:proofErr w:type="gramStart"/>
            <w:r>
              <w:rPr>
                <w:rFonts w:ascii="Calibri" w:hAnsi="Calibri" w:cs="Calibri"/>
                <w:color w:val="000000"/>
              </w:rPr>
              <w:t>энергия,  Гкал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на 1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кв.м</w:t>
            </w:r>
            <w:proofErr w:type="spellEnd"/>
            <w:r>
              <w:rPr>
                <w:rFonts w:ascii="Calibri" w:hAnsi="Calibri" w:cs="Calibri"/>
                <w:color w:val="000000"/>
              </w:rPr>
              <w:t>. общей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1E38A0" w:rsidTr="009F142D">
        <w:trPr>
          <w:trHeight w:val="64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Удельная величина потребления энергетических ресурсов муниципальными бюджетными </w:t>
            </w:r>
            <w:proofErr w:type="spellStart"/>
            <w:r>
              <w:rPr>
                <w:rFonts w:ascii="Calibri" w:hAnsi="Calibri" w:cs="Calibri"/>
                <w:color w:val="000000"/>
              </w:rPr>
              <w:t>учереждениями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ГОРЯЧАЯ вода,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куб.м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 1 человека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1E38A0" w:rsidTr="009F142D">
        <w:trPr>
          <w:trHeight w:val="93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Удельная величина потребления энергетических ресурсов муниципальными бюджетными </w:t>
            </w:r>
            <w:proofErr w:type="spellStart"/>
            <w:r>
              <w:rPr>
                <w:rFonts w:ascii="Calibri" w:hAnsi="Calibri" w:cs="Calibri"/>
                <w:color w:val="000000"/>
              </w:rPr>
              <w:t>учереждениями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ХОЛОДНАЯ вода,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куб.м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 1 человека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2,43</w:t>
            </w:r>
          </w:p>
        </w:tc>
      </w:tr>
      <w:tr w:rsidR="001E38A0" w:rsidTr="009F142D">
        <w:trPr>
          <w:trHeight w:val="91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Удельная величина потребления энергетических ресурсов муниципальными бюджетными </w:t>
            </w:r>
            <w:proofErr w:type="spellStart"/>
            <w:r>
              <w:rPr>
                <w:rFonts w:ascii="Calibri" w:hAnsi="Calibri" w:cs="Calibri"/>
                <w:color w:val="000000"/>
              </w:rPr>
              <w:t>учереждениями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ПРИРОДНЫЙ газ,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куб.м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 1 человека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0,63</w:t>
            </w:r>
          </w:p>
        </w:tc>
      </w:tr>
      <w:tr w:rsidR="001E38A0" w:rsidTr="009F142D">
        <w:trPr>
          <w:trHeight w:val="94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Доля </w:t>
            </w:r>
            <w:proofErr w:type="gramStart"/>
            <w:r>
              <w:rPr>
                <w:rFonts w:ascii="Calibri" w:hAnsi="Calibri" w:cs="Calibri"/>
                <w:color w:val="000000"/>
              </w:rPr>
              <w:t>ответственных  за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энергосбережение и повышение энергетической эффективности, прошедших обучение по образовательным программам в области энергосбережения и повышения энергетической эффективности,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1E38A0" w:rsidTr="009F142D">
        <w:trPr>
          <w:trHeight w:val="88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Доля муниципальных учреждений в общем количестве муниципальных учреждений, представивших информацию в информационные системы в области энергосбережения,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E38A0" w:rsidTr="009F142D">
        <w:trPr>
          <w:trHeight w:val="9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кВт/час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</w:tr>
      <w:tr w:rsidR="001E38A0" w:rsidTr="009F142D">
        <w:trPr>
          <w:trHeight w:val="61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Доля современных </w:t>
            </w:r>
            <w:proofErr w:type="spellStart"/>
            <w:r>
              <w:rPr>
                <w:rFonts w:ascii="Calibri" w:hAnsi="Calibri" w:cs="Calibri"/>
                <w:color w:val="000000"/>
              </w:rPr>
              <w:t>энергоэффективных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светильников в общем количестве светильников наружного освещения,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1E38A0" w:rsidTr="009F142D">
        <w:trPr>
          <w:trHeight w:val="91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Доля освещенных улиц, проездов, набережных, площадей с уровнем освещенности, соответствующим установленным нормативам в общей протяженности освещенных улиц, проездов, набережных, площадей,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E38A0" w:rsidTr="009F142D">
        <w:trPr>
          <w:trHeight w:val="93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Доля улиц, проездов, набережных, </w:t>
            </w:r>
            <w:proofErr w:type="gramStart"/>
            <w:r>
              <w:rPr>
                <w:rFonts w:ascii="Calibri" w:hAnsi="Calibri" w:cs="Calibri"/>
                <w:color w:val="000000"/>
              </w:rPr>
              <w:t>площадей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прошедших светотехническое обследование в общей протяженности освещенных улиц, проездов, набережных, площадей,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1E38A0" w:rsidTr="009F142D">
        <w:trPr>
          <w:trHeight w:val="66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Количество </w:t>
            </w:r>
            <w:proofErr w:type="spellStart"/>
            <w:r>
              <w:rPr>
                <w:rFonts w:ascii="Calibri" w:hAnsi="Calibri" w:cs="Calibri"/>
                <w:color w:val="000000"/>
              </w:rPr>
              <w:t>энергосервисных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договоров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заключенных органами местного самоуправления и муниципальными учреждениями, </w:t>
            </w:r>
            <w:proofErr w:type="spellStart"/>
            <w:r>
              <w:rPr>
                <w:rFonts w:ascii="Calibri" w:hAnsi="Calibri" w:cs="Calibri"/>
                <w:color w:val="000000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1E38A0" w:rsidTr="009F142D">
        <w:trPr>
          <w:trHeight w:val="66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Доля аварийных опор и опор со сверхнормативным сроком службы в общем количестве опор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наружнего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освещения,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1E38A0" w:rsidTr="009F142D">
        <w:trPr>
          <w:trHeight w:val="7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Доля самонесущего изолированного провода (СИП) в общей протяженности линий уличного освещения,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E38A0" w:rsidTr="009F142D">
        <w:trPr>
          <w:trHeight w:val="63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Доля светильников в общем количестве светильников уличного освещения, управление которыми осуществляется с использованием автоматизированных систем управления уличным освещением,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1E38A0" w:rsidTr="009F142D">
        <w:trPr>
          <w:trHeight w:val="36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Установка приборов учёта тепловой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энергии,ед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E38A0" w:rsidTr="009F142D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Замена оборудования на оборудование с более высоким КПД, </w:t>
            </w:r>
            <w:proofErr w:type="spellStart"/>
            <w:r>
              <w:rPr>
                <w:rFonts w:ascii="Calibri" w:hAnsi="Calibri" w:cs="Calibri"/>
                <w:color w:val="000000"/>
              </w:rPr>
              <w:t>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E38A0" w:rsidTr="009F142D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Замена тепловых сетей с применением новых технологий,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пог.м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E38A0" w:rsidTr="009F142D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Замена сетей водоснабжения на трубопроводы современных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полименрных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материалов,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пог</w:t>
            </w:r>
            <w:proofErr w:type="spellEnd"/>
            <w:r>
              <w:rPr>
                <w:rFonts w:ascii="Calibri" w:hAnsi="Calibri" w:cs="Calibri"/>
                <w:color w:val="000000"/>
              </w:rPr>
              <w:t>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E38A0" w:rsidTr="009F142D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A0" w:rsidRDefault="001E3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Строительство станции </w:t>
            </w:r>
            <w:proofErr w:type="gramStart"/>
            <w:r>
              <w:rPr>
                <w:rFonts w:ascii="Calibri" w:hAnsi="Calibri" w:cs="Calibri"/>
                <w:color w:val="000000"/>
              </w:rPr>
              <w:t>обезжелезивания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0" w:rsidRDefault="001E38A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</w:tr>
    </w:tbl>
    <w:p w:rsidR="000944FD" w:rsidRDefault="000944FD"/>
    <w:tbl>
      <w:tblPr>
        <w:tblW w:w="15684" w:type="dxa"/>
        <w:tblLayout w:type="fixed"/>
        <w:tblLook w:val="04A0" w:firstRow="1" w:lastRow="0" w:firstColumn="1" w:lastColumn="0" w:noHBand="0" w:noVBand="1"/>
      </w:tblPr>
      <w:tblGrid>
        <w:gridCol w:w="640"/>
        <w:gridCol w:w="2337"/>
        <w:gridCol w:w="1719"/>
        <w:gridCol w:w="1712"/>
        <w:gridCol w:w="2381"/>
        <w:gridCol w:w="709"/>
        <w:gridCol w:w="1134"/>
        <w:gridCol w:w="1276"/>
        <w:gridCol w:w="944"/>
        <w:gridCol w:w="944"/>
        <w:gridCol w:w="944"/>
        <w:gridCol w:w="944"/>
      </w:tblGrid>
      <w:tr w:rsidR="001977F9" w:rsidRPr="001977F9" w:rsidTr="001977F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№2 </w:t>
            </w:r>
          </w:p>
        </w:tc>
      </w:tr>
      <w:tr w:rsidR="001977F9" w:rsidRPr="001977F9" w:rsidTr="001977F9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Постановлению №_____________ от _______________________    </w:t>
            </w: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156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 реализации муниципальной программы</w:t>
            </w: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</w:p>
        </w:tc>
      </w:tr>
      <w:tr w:rsidR="001977F9" w:rsidRPr="001977F9" w:rsidTr="001977F9">
        <w:trPr>
          <w:trHeight w:val="300"/>
        </w:trPr>
        <w:tc>
          <w:tcPr>
            <w:tcW w:w="156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"Энергосбережение и повышение энергетической эффективности на территории Рузского муниципального района</w:t>
            </w:r>
          </w:p>
        </w:tc>
      </w:tr>
      <w:tr w:rsidR="001977F9" w:rsidRPr="001977F9" w:rsidTr="001977F9">
        <w:trPr>
          <w:trHeight w:val="300"/>
        </w:trPr>
        <w:tc>
          <w:tcPr>
            <w:tcW w:w="156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срок </w:t>
            </w: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2015-2019 годы"</w:t>
            </w: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7F9" w:rsidRPr="001977F9" w:rsidTr="001977F9">
        <w:trPr>
          <w:trHeight w:val="21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977F9" w:rsidRPr="001977F9" w:rsidTr="001977F9">
        <w:trPr>
          <w:trHeight w:val="54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источники (в разрезе)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1977F9" w:rsidRPr="001977F9" w:rsidTr="001977F9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выполнено в 2013 году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1 (1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1977F9" w:rsidRPr="001977F9" w:rsidTr="001977F9">
        <w:trPr>
          <w:trHeight w:val="2100"/>
        </w:trPr>
        <w:tc>
          <w:tcPr>
            <w:tcW w:w="6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энергетической эффективности систем коммунального комплекса Рузского муниципального района </w:t>
            </w:r>
          </w:p>
        </w:tc>
        <w:tc>
          <w:tcPr>
            <w:tcW w:w="3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600"/>
        </w:trPr>
        <w:tc>
          <w:tcPr>
            <w:tcW w:w="6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приборов учёта тепловой энергии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900"/>
        </w:trPr>
        <w:tc>
          <w:tcPr>
            <w:tcW w:w="6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оборудования на оборудование с более высоким КПД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4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пог.м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942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600"/>
        </w:trPr>
        <w:tc>
          <w:tcPr>
            <w:tcW w:w="6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тепловых сетей с применением новых технологий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5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пог.м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566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900"/>
        </w:trPr>
        <w:tc>
          <w:tcPr>
            <w:tcW w:w="6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сетей водоснабжения на трубопроводы современных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полименрных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6481.59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84250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6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977F9" w:rsidRPr="001977F9" w:rsidTr="001977F9">
        <w:trPr>
          <w:trHeight w:val="915"/>
        </w:trPr>
        <w:tc>
          <w:tcPr>
            <w:tcW w:w="6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станции обезжелезивания (учтено в программе ЖКХ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2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2954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7 (1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1977F9" w:rsidRPr="001977F9" w:rsidTr="001977F9">
        <w:trPr>
          <w:trHeight w:val="1080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энергетической эффективности в жилищном фонде Рузского муниципального района 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многоквартирных домов, оснащенных общедомовыми приборами учета потребляемых энергетических ресурсов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8 (1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0,05</w:t>
            </w:r>
          </w:p>
        </w:tc>
      </w:tr>
      <w:tr w:rsidR="001977F9" w:rsidRPr="001977F9" w:rsidTr="001977F9">
        <w:trPr>
          <w:trHeight w:val="1350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Удельный суммарный расход энергетических ресурсов в многоквартирных домах (в расчете на 1 кв. метр общей площади)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9 (607)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кВт.ч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1 проживающего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695,09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671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672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673</w:t>
            </w:r>
          </w:p>
        </w:tc>
      </w:tr>
      <w:tr w:rsidR="001977F9" w:rsidRPr="001977F9" w:rsidTr="001977F9">
        <w:trPr>
          <w:trHeight w:val="810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Удельная величина </w:t>
            </w:r>
            <w:proofErr w:type="gram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потребления  энергетических</w:t>
            </w:r>
            <w:proofErr w:type="gram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ресурсов в МКД: ЭЛЕКТРИЧЕСКАЯ энергия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10 (607)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Гкал на 1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общей площади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0,22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0,22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0,22</w:t>
            </w:r>
          </w:p>
        </w:tc>
      </w:tr>
      <w:tr w:rsidR="001977F9" w:rsidRPr="001977F9" w:rsidTr="001977F9">
        <w:trPr>
          <w:trHeight w:val="810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Удельная величина </w:t>
            </w:r>
            <w:proofErr w:type="gram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потребления  энергетических</w:t>
            </w:r>
            <w:proofErr w:type="gram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ресурсов в МКД: ТЕПЛОВАЯ энергия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11 (607)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куб.метров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1 проживающего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19,93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19,93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1977F9" w:rsidRPr="001977F9" w:rsidTr="001977F9">
        <w:trPr>
          <w:trHeight w:val="810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Удельная величина </w:t>
            </w:r>
            <w:proofErr w:type="gram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потребления  энергетических</w:t>
            </w:r>
            <w:proofErr w:type="gram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ресурсов в МКД: ГОРЯЧАЯ ВОДА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12 (607)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куб.метров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1 проживающего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53,73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53,73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53,7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53,5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1977F9" w:rsidRPr="001977F9" w:rsidTr="001977F9">
        <w:trPr>
          <w:trHeight w:val="810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Удельная величина </w:t>
            </w:r>
            <w:proofErr w:type="gram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потребления  энергетических</w:t>
            </w:r>
            <w:proofErr w:type="gram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ресурсов в МКД: ХОЛОДНАЯ ВОДА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3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18008,63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13 (1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0,036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0,036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0,036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0,036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0,036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0,036</w:t>
            </w:r>
          </w:p>
        </w:tc>
      </w:tr>
      <w:tr w:rsidR="001977F9" w:rsidRPr="001977F9" w:rsidTr="001977F9">
        <w:trPr>
          <w:trHeight w:val="162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энергетической эффективности в бюджетной сфере Рузского муниципального района 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Удельный суммарный расход энергетических ресурсов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14 (2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1977F9" w:rsidRPr="001977F9" w:rsidTr="001977F9">
        <w:trPr>
          <w:trHeight w:val="210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зданий, строений, сооружений, занимаемых организациями бюджетной сферы, оборудованных автоматизированными индивидуальными тепловыми пунктами (ИТП)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15 (2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</w:tr>
      <w:tr w:rsidR="001977F9" w:rsidRPr="001977F9" w:rsidTr="001977F9">
        <w:trPr>
          <w:trHeight w:val="240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приборов учета энергетических ресурсов в общем объеме приборов учета энергетических ресурсов, охваченных автоматизированными системами контроля учета энергетических ресурсов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16 (607)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кВт/час на 1человека насе</w:t>
            </w: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43,75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43,75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43,75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43,75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lang w:eastAsia="ru-RU"/>
              </w:rPr>
              <w:t>43,75</w:t>
            </w:r>
          </w:p>
        </w:tc>
      </w:tr>
      <w:tr w:rsidR="001977F9" w:rsidRPr="001977F9" w:rsidTr="001977F9">
        <w:trPr>
          <w:trHeight w:val="150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Удельная величина потребления энергетических ресурсов муниципальными бюджетными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учереждениями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ЭЛЕКТРИЧЕСКАЯ энергия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17 (607)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Гкал на 1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общей площади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lang w:eastAsia="ru-RU"/>
              </w:rPr>
              <w:t>0,15</w:t>
            </w:r>
          </w:p>
        </w:tc>
      </w:tr>
      <w:tr w:rsidR="001977F9" w:rsidRPr="001977F9" w:rsidTr="001977F9">
        <w:trPr>
          <w:trHeight w:val="150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Удельная величина потребления энергетических ресурсов муниципальными бюджетными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учереждениями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ТЕПЛОВАЯ энергия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18 (607)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куб.метров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1 человека населения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1977F9" w:rsidRPr="001977F9" w:rsidTr="001977F9">
        <w:trPr>
          <w:trHeight w:val="150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Удельная величина потребления энергетических ресурсов муниципальными бюджетными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учереждениями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ГОРЯЧАЯ вода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19 (607)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куб.метров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1 человека населения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2,43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2,43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2,43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2,43</w:t>
            </w:r>
          </w:p>
        </w:tc>
      </w:tr>
      <w:tr w:rsidR="001977F9" w:rsidRPr="001977F9" w:rsidTr="001977F9">
        <w:trPr>
          <w:trHeight w:val="150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Удельная величина потребления энергетических ресурсов муниципальными бюджетными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учереждениями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ХОЛОДНАЯ вода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20 (607)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куб.метров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1 человека насе</w:t>
            </w: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0,65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</w:tr>
      <w:tr w:rsidR="001977F9" w:rsidRPr="001977F9" w:rsidTr="001977F9">
        <w:trPr>
          <w:trHeight w:val="150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Удельная величина потребления энергетических ресурсов муниципальными бюджетными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учереждениями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ПРИРОДНЫЙ газ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4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21 (1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1,58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40,42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60,9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79,7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977F9" w:rsidRPr="001977F9" w:rsidTr="001977F9">
        <w:trPr>
          <w:trHeight w:val="216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Информационное обеспечение энергосберегающих мероприятий 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Доля </w:t>
            </w:r>
            <w:proofErr w:type="gram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ответственных  за</w:t>
            </w:r>
            <w:proofErr w:type="gram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энергосбережение и повышение энергетической эффективности, прошедших обучение по образовательным программам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22 (1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1977F9" w:rsidRPr="001977F9" w:rsidTr="001977F9">
        <w:trPr>
          <w:trHeight w:val="16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муниципальных учреждений в общем количестве муниципальных учреждений, представивших информацию в информационные системы в области энергосбережения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5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16839,93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Показатель 23 (1группа) (рейтинг56)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</w:tr>
      <w:tr w:rsidR="001977F9" w:rsidRPr="001977F9" w:rsidTr="001977F9">
        <w:trPr>
          <w:trHeight w:val="10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энергетической эффективности в системах наружного освещения Рузского муниципального района (СНО) 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Доля современных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энергоэффективных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24 (2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977F9" w:rsidRPr="001977F9" w:rsidTr="001977F9">
        <w:trPr>
          <w:trHeight w:val="24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светильников в общем количестве светильников уличного освещения, управление которыми осуществляется с использованием автоматизированных систем управления уличным освещением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14592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25 (1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1977F9" w:rsidRPr="001977F9" w:rsidTr="001977F9">
        <w:trPr>
          <w:trHeight w:val="18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освещенных улиц, проездов, набережных, площадей с уровнем освещенности, соответствующим установленным нормативам в общей протяженности освещенных улиц, проездов, набережных, площадей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Показатель 26 (1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квт/час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</w:t>
            </w:r>
          </w:p>
        </w:tc>
      </w:tr>
      <w:tr w:rsidR="001977F9" w:rsidRPr="001977F9" w:rsidTr="001977F9">
        <w:trPr>
          <w:trHeight w:val="16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27 (1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</w:tr>
      <w:tr w:rsidR="001977F9" w:rsidRPr="001977F9" w:rsidTr="001977F9">
        <w:trPr>
          <w:trHeight w:val="16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Доля улиц, проездов, набережных, </w:t>
            </w:r>
            <w:proofErr w:type="gram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площадей</w:t>
            </w:r>
            <w:proofErr w:type="gram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прошедших светотехническое обследование в общей протяженности освещенных улиц, проездов, набережных, площадей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28 (1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1977F9" w:rsidRPr="001977F9" w:rsidTr="001977F9">
        <w:trPr>
          <w:trHeight w:val="10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Количество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энергосервисных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договоров</w:t>
            </w:r>
            <w:proofErr w:type="gram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заключенных органами местного самоуправления и муниципальными учреждениями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29 (2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8,7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1977F9" w:rsidRPr="001977F9" w:rsidTr="001977F9">
        <w:trPr>
          <w:trHeight w:val="12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аварийных опор и опор со сверхнормативным сроком службы в общем количестве опор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наружнего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освещения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30 (2 группа)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88,4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977F9" w:rsidRPr="001977F9" w:rsidTr="001977F9">
        <w:trPr>
          <w:trHeight w:val="12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самонесущего изолированного провода (СИП) в общей протяженности линий уличного освещения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977F9" w:rsidRDefault="001977F9"/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636"/>
        <w:gridCol w:w="1632"/>
        <w:gridCol w:w="1452"/>
        <w:gridCol w:w="1950"/>
        <w:gridCol w:w="1134"/>
        <w:gridCol w:w="993"/>
        <w:gridCol w:w="992"/>
        <w:gridCol w:w="992"/>
        <w:gridCol w:w="992"/>
        <w:gridCol w:w="993"/>
        <w:gridCol w:w="850"/>
        <w:gridCol w:w="1418"/>
        <w:gridCol w:w="1701"/>
      </w:tblGrid>
      <w:tr w:rsidR="001977F9" w:rsidRPr="001977F9" w:rsidTr="001977F9">
        <w:trPr>
          <w:trHeight w:val="5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№3 </w:t>
            </w:r>
          </w:p>
        </w:tc>
      </w:tr>
      <w:tr w:rsidR="001977F9" w:rsidRPr="001977F9" w:rsidTr="001977F9">
        <w:trPr>
          <w:trHeight w:val="4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№_____________ от _______________________ </w:t>
            </w:r>
          </w:p>
        </w:tc>
      </w:tr>
      <w:tr w:rsidR="001977F9" w:rsidRPr="001977F9" w:rsidTr="001977F9">
        <w:trPr>
          <w:trHeight w:val="300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мероприятий муниципальной программы        </w:t>
            </w:r>
          </w:p>
        </w:tc>
      </w:tr>
      <w:tr w:rsidR="001977F9" w:rsidRPr="001977F9" w:rsidTr="001977F9">
        <w:trPr>
          <w:trHeight w:val="300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"Энергосбережение и повышение энергетической эффективности на территории Рузского муниципального района</w:t>
            </w:r>
          </w:p>
        </w:tc>
      </w:tr>
      <w:tr w:rsidR="001977F9" w:rsidRPr="001977F9" w:rsidTr="001977F9">
        <w:trPr>
          <w:trHeight w:val="300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срок 2015-2019 годы"</w:t>
            </w: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7F9" w:rsidRPr="001977F9" w:rsidTr="001977F9">
        <w:trPr>
          <w:trHeight w:val="190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исполнения мероприятий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anchor="RANGE!P981" w:history="1">
              <w:r w:rsidRPr="001977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Объем финансирования мероприятия в текущем финансовом году (тыс. </w:t>
              </w:r>
              <w:proofErr w:type="gramStart"/>
              <w:r w:rsidRPr="001977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руб.)*</w:t>
              </w:r>
              <w:proofErr w:type="gramEnd"/>
              <w:r w:rsidRPr="001977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                   2015г.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Ответствен-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выполнения мероприятий подпрограммы</w:t>
            </w:r>
          </w:p>
        </w:tc>
      </w:tr>
      <w:tr w:rsidR="001977F9" w:rsidRPr="001977F9" w:rsidTr="001977F9">
        <w:trPr>
          <w:trHeight w:val="9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3-й год планового периода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4-й год планового периода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5-й год планового периода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9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2015-2016г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92 850,00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"РТК"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Повышение энергетической эффективности систем коммунального комплекса Рузского муниципального района 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бюджетов  поселений</w:t>
            </w:r>
            <w:proofErr w:type="gramEnd"/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6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92 850,00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2015-2016г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Установка приборов учёта тепловой энергии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 (бюджет ООО "РТК")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2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2015-2016г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6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Замена оборудования на оборудование с более высоким КПД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6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6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 (бюджет ООО "РТК")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3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2015-2016г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6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Замена тепловых сетей с применением новых технологий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6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 (бюджет ООО "РТК")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4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2015-2016г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Замена сетей водоснабжения на трубопроводы из современных полимерных материалов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6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6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 (бюджет ООО "РТК")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5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2016г.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д.Сытьково</w:t>
            </w:r>
            <w:proofErr w:type="spellEnd"/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 (бюджет ООО "РТК")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6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2015г.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Экономия всех видов энергоресурсов при производстве, распределении </w:t>
            </w: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д.Воробьёво</w:t>
            </w:r>
            <w:proofErr w:type="spellEnd"/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 (бюджет ООО "РТК")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7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2016г.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г.Руза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Базарный проезд д.1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8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2016г.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д.Орешки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д.97,98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 (бюджет ООО "РТК")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1.10.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9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2016г.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Экономия всех видов энергоресурсов </w:t>
            </w: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</w:t>
            </w: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 xml:space="preserve">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п.Дорохово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ул.Стеклозаводская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д.1 стр.5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Рузского </w:t>
            </w: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1.11.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п.Дорохово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Большой пер. д.1 стр.2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1.12.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п.Космодемьянский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д.17а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1.13.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12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2017г.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ВЗУ №2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п.Колюбакино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ул.Попова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д.34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1.14.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13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п.Беляная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Гора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1.15.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14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с.Никольское</w:t>
            </w:r>
            <w:proofErr w:type="spellEnd"/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1.16.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15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с.Покровское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ДОХБ, д.22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1.17.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16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с.Покровское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Урожайная д.5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1.18.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17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Экономия всех видов энергоресурсов при производстве, </w:t>
            </w: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Строительство станции обезжелезиван</w:t>
            </w: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 xml:space="preserve">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п.Брикет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д.90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1.19.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18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д.Нововолково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д.20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1.20.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19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д.Старотеряево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ул.Доватора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д.25/1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1.21.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20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Экономия всех видов </w:t>
            </w: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Установка станции озонирования, реконструкция скважины, автоматизация ВЗУ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д.Ольховка</w:t>
            </w:r>
            <w:proofErr w:type="spellEnd"/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1.22.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21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Установка станции озонирования, реконструкция скважины, автоматизация ВЗУ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д.Мишинка</w:t>
            </w:r>
            <w:proofErr w:type="spellEnd"/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1.23.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22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п.Тучково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ул.Молодёжная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д.12 стр.1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1.24.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23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2015г.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Экономия всех видов энергоресурсов при производстве, распределении и потреблении энергии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Замена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аэроционной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системы очистных сооружений в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г.Руза</w:t>
            </w:r>
            <w:proofErr w:type="spellEnd"/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Задача 2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2016г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3 811,80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3 261,80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учета всего объема потребляемых энергетических ресурсов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Повышение энергетической эффективности в жилищном фонде Рузского муниципального района 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учета всего объема потребляемых энергетических ресурсов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Установка общедомовых приборов учёта на тепловую энергию, </w:t>
            </w: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 xml:space="preserve">холодное и горячее водоснабжение, выполнение энергосберегающих мероприятий в МКД Рузского муниципального района (Замена ламп накаливания на </w:t>
            </w:r>
            <w:proofErr w:type="gram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энергосберегающие ,</w:t>
            </w:r>
            <w:proofErr w:type="gram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замена дверей на металлические, установка окон из ПВХ, ремонт системы отопления)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1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2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учета всего объема потребляемых энергетических ресурсов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Установка индивидуальных приборов учета потребления коммунальных ресурсов в муниципальных квартирах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Задача 3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Управление образование, здравоохранения, отделы </w:t>
            </w: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культуры, спорта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Снижение эффективности расходования средств бюджета </w:t>
            </w: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Рузского муниципального района вызванному ростом долей затрат на оплату коммунальных услуг в общих затратах на муниципальное управление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Повышение энергетической </w:t>
            </w:r>
            <w:r w:rsidRPr="001977F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lastRenderedPageBreak/>
              <w:t xml:space="preserve">эффективности в бюджетной сфере Рузского муниципального района 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7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образование, здравоохранения, отделы культуры, спорта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Снижение эффективности расходования средств бюджета Рузского муниципального района вызванному ростом долей затрат на оплату коммунальных услуг в общих затратах на муниципальное управление</w:t>
            </w:r>
          </w:p>
        </w:tc>
      </w:tr>
      <w:tr w:rsidR="001977F9" w:rsidRPr="001977F9" w:rsidTr="001977F9">
        <w:trPr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Выполнение энергосберегающих мероприятий на объектах Управления образования Рузского муниципального </w:t>
            </w:r>
            <w:proofErr w:type="gram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района(</w:t>
            </w:r>
            <w:proofErr w:type="gram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Ремонт кровли, установка окон из ПВХ, ремонт системы отопления, установка теплоотражающих экранов за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ралиаторами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отопления, замена ламп накаливания на энергосберегающие на объектах Управления образования </w:t>
            </w: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Рузского муниципального района)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42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20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Задача 4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2016г.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информированности граждан по вопросам энергосбережения и внедрения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энергоэффективных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технологий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Информационное обеспечение энергосберегающих мероприятий 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информированности граждан по вопросам энергосбережения и внедрения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энергоэффективных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технологий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Обучение ответственных за энергосбережение и повышение энергетической эффективности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2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информированности граждан по вопросам энергосбережения и внедрения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энергоэффективных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технологий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Заполнение декларации, предусмотренной государственной информационной системой "Энергосбережение и повышение энергетической эффективности"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Задача 5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2015-2017г.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41 331,93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28 783,35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7 548,58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энергетической эффективности в системах наружного освещения Рузского муниципального района (СНО)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Повышение энергетической эффективности в системах наружного освещения Рузского муниципального района (СНО) 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41 331,93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28 783,35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7 548,58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2016-2017г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16 839,93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9 291,35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7 548,58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энергетической эффективности в системах наружного освещения Рузского муниципального района (СНО)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Внедрение энергосберегающих светильников нового поколения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16 839,93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9 291,35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7 548,58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2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14 592,00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энергетической эффективности в системах наружного освещения Рузского муниципального района (СНО)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Увеличение доли освещенных улиц, проездов, площадей с уровнем освещенности соответствующим установленным нормативам в общей протяженности освещенных улиц, проездов, набережных, площадей на территории Рузского муниципального района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6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14 592,00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6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3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энергетической эффективности в системах наружного освещения Рузского муниципального района (СНО)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Светотехническое обследование улиц, проездов, набережных, площадей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5.4.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4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2015-2016г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энергетической эффективности в системах наружного освещения Рузского муниципального района (СНО)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Замена опор со сверхнормативным сроком службы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5.5.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5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энергетической эффективности в системах наружного освещения Рузского муниципального района (СНО)</w:t>
            </w: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Заключение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энергосервисных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договоров и привлечение частных инвестиций с целью их реализации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49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2015-2019г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138 043,73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54 345,15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43 548,58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51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51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41 331,93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28 783,35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7 548,58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95 804,00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25 254,00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* - объем финансирования аналогичных мероприятий в году, предшествующем году начала реализации муниципальной программы.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77F9" w:rsidRDefault="001977F9"/>
    <w:tbl>
      <w:tblPr>
        <w:tblW w:w="15341" w:type="dxa"/>
        <w:tblLook w:val="04A0" w:firstRow="1" w:lastRow="0" w:firstColumn="1" w:lastColumn="0" w:noHBand="0" w:noVBand="1"/>
      </w:tblPr>
      <w:tblGrid>
        <w:gridCol w:w="3261"/>
        <w:gridCol w:w="2409"/>
        <w:gridCol w:w="4111"/>
        <w:gridCol w:w="3544"/>
        <w:gridCol w:w="2016"/>
      </w:tblGrid>
      <w:tr w:rsidR="001977F9" w:rsidRPr="001977F9" w:rsidTr="001977F9">
        <w:trPr>
          <w:trHeight w:val="3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№4 </w:t>
            </w:r>
          </w:p>
        </w:tc>
      </w:tr>
      <w:tr w:rsidR="001977F9" w:rsidRPr="001977F9" w:rsidTr="001977F9">
        <w:trPr>
          <w:trHeight w:val="4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 Постановлению №_____________ от _______________________   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7F9" w:rsidRPr="001977F9" w:rsidTr="001977F9">
        <w:trPr>
          <w:trHeight w:val="375"/>
        </w:trPr>
        <w:tc>
          <w:tcPr>
            <w:tcW w:w="15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Обоснование финансовых ресурсов, необходимых для реализации мероприятий программы </w:t>
            </w:r>
          </w:p>
        </w:tc>
      </w:tr>
      <w:tr w:rsidR="001977F9" w:rsidRPr="001977F9" w:rsidTr="001977F9">
        <w:trPr>
          <w:trHeight w:val="375"/>
        </w:trPr>
        <w:tc>
          <w:tcPr>
            <w:tcW w:w="15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Энергосбережение и повышение энергетической эффективности на территории Рузского муниципального района</w:t>
            </w:r>
          </w:p>
        </w:tc>
      </w:tr>
      <w:tr w:rsidR="001977F9" w:rsidRPr="001977F9" w:rsidTr="001977F9">
        <w:trPr>
          <w:trHeight w:val="375"/>
        </w:trPr>
        <w:tc>
          <w:tcPr>
            <w:tcW w:w="153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 срок 2015-2019 годы"</w:t>
            </w:r>
          </w:p>
        </w:tc>
      </w:tr>
      <w:tr w:rsidR="001977F9" w:rsidRPr="001977F9" w:rsidTr="001977F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" w:anchor="RANGE!P1372" w:history="1">
              <w:r w:rsidRPr="001977F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Наименование мероприятия подпрограммы*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" w:anchor="RANGE!P1373" w:history="1">
              <w:r w:rsidRPr="001977F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Источник финансирования**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" w:anchor="RANGE!P1374" w:history="1">
              <w:r w:rsidRPr="001977F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Расчет необходимых финансовых ресурсов на реализацию мероприятия***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" w:anchor="RANGE!P1375" w:history="1">
              <w:r w:rsidRPr="001977F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Общий объем финансовых ресурсов, необходимых для реализации мероприятия, в том числе по годам****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" w:anchor="RANGE!P1376" w:history="1">
              <w:r w:rsidRPr="001977F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Эксплуатационные расходы, возникающие в результате реализации мероприятия*****</w:t>
              </w:r>
            </w:hyperlink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Совокупность затрат на установку приборов учета тепловой энергии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2015г.-400 тыс.руб., 2016г. - 400 тыс.руб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Установка приборов учёта тепловой энергии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замену оборудования на оборудование с более высоким КПД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2015г.-1000 тыс.руб., 2016г. - 1000 тыс.руб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Замена оборудования на оборудование с более высоким КПД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замену тепловых сетей с применением новых технологий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2015г.-2100 тыс.руб., 2016г. - 2200 тыс.руб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Замена тепловых сетей с применением новых технологий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замену сетей водоснабжения на трубопроводы из современных полимерных материалов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2015г.-500 тыс.руб., 2016г. - 1000 тыс.руб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Замена сетей водоснабжения на трубопроводы из современных полимерных материалов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Строительство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д.Сытьково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2015г.-3500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д.Сытьково</w:t>
            </w:r>
            <w:proofErr w:type="spellEnd"/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Строительство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д.Воробьёво</w:t>
            </w:r>
            <w:proofErr w:type="spellEnd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1550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2015г.-1550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д.Воробьёво</w:t>
            </w:r>
            <w:proofErr w:type="spellEnd"/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Строительство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г.Руза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Базарный проезд д.1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2016г. - 8000 тыс.руб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г.Руза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Базарный проезд д.1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наСтроительство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д.Орешки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д.97,98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2016г. - 3700 тыс.руб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д.Орешки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д.97,98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Строительство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п.Дорохово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ул.Стеклозаводская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д.1 стр.5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2016г. - 6000 тыс.руб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п.Дорохово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ул.Стеклозаводская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д.1 стр.5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Строительство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п.Дорохово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Большой пер. д.1 стр.2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2017г. - 2500 тыс.руб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п.Дорохово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Большой пер. д.1 стр.2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Строительство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п.Космодемьянский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д.17а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2018г.-5000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п.Космодемьянский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д.17а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Строительство станции обезжелезивания ВЗУ №2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п.Колюбакино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ул.Попова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д.34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2017г.-6000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ВЗУ №2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п.Колюбакино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ул.Попова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д.34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Строительство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п.Беляная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2018г.-3700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п.Беляная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Гора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Строительство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с.Никольское</w:t>
            </w:r>
            <w:proofErr w:type="spellEnd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2018г.-8000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с.Никольское</w:t>
            </w:r>
            <w:proofErr w:type="spellEnd"/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наСтроительство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с.Покровское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ДОХБ, д.22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2017г.-6000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с.Покровское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ДОХБ, д.22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Строительство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с.Покровское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Урожайная д.5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2017г.-3700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с.Покровское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Урожайная д.5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Строительство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п.Брикет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д.90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2017г.-5000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п.Брикет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д.90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Строительство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д.Нововолково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д.20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2017г.-8000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д.Нововолково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д.20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Строительство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д.Старотеряево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ул.Доватора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д.25/1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2017г.-4200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д.Старотеряево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ул.Доватора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д.25/1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22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Строительство станции обезжелезивания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п.Тучково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ул.Молодёжная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д.12 стр.1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2018г.-8000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Строительство станции обезжелезивания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п.Тучково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ул.Молодёжная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д.12 стр.1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23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внебюджетные источники (ООО РТК)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Замену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аэроционной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системы очистных сооружений в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г.Руза</w:t>
            </w:r>
            <w:proofErr w:type="spellEnd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2015г.-1400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Замена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аэроционной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системы очистных сооружений в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г.Руза</w:t>
            </w:r>
            <w:proofErr w:type="spellEnd"/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25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Установку общедомовых приборов учёта на тепловую энергию, холодное и горячее водоснабжение, выполнение энергосберегающих мероприятий в МКД Рузского муниципального района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2954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2016г.-2954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Установка общедомовых приборов учёта на тепловую энергию, холодное и горячее водоснабжение, выполнение энергосберегающих мероприятий в МКД Рузского муниципального района (Замена ламп накаливания на </w:t>
            </w:r>
            <w:proofErr w:type="gram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энергосберегающие ,</w:t>
            </w:r>
            <w:proofErr w:type="gram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замена дверей на металлические, установка окон из ПВХ, ремонт системы отопления)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202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26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Совокупность затрат на Установку индивидуальных приборов учета потребления коммунальных ресурсов в муниципальных квартирах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lang w:eastAsia="ru-RU"/>
              </w:rPr>
              <w:t>807,8 тыс.руб.</w:t>
            </w:r>
            <w:r w:rsidRPr="001977F9">
              <w:rPr>
                <w:rFonts w:ascii="Calibri" w:eastAsia="Times New Roman" w:hAnsi="Calibri" w:cs="Calibri"/>
                <w:lang w:eastAsia="ru-RU"/>
              </w:rPr>
              <w:t>, 2016г.-307,8 тыс.руб. 2017г. - 500 тыс.руб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Установка индивидуальных приборов учета потребления коммунальных ресурсов в муниципальных квартирах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Мероприятие 27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Совокупность затрат на Обучение ответственных за энергосбережение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lang w:eastAsia="ru-RU"/>
              </w:rPr>
              <w:t>50 тыс.руб., 2017г.</w:t>
            </w:r>
            <w:r w:rsidRPr="001977F9">
              <w:rPr>
                <w:rFonts w:ascii="Calibri" w:eastAsia="Times New Roman" w:hAnsi="Calibri" w:cs="Calibri"/>
                <w:lang w:eastAsia="ru-RU"/>
              </w:rPr>
              <w:t>- 50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Обучение ответственных за энергосбережение и повышение энергетической эффективности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29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бюджеты поселений Рузского муниципального района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Совокупность затрат на Внедрение энергосберегающих светильников нового поколения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16839,93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2016г.-9291,35 тыс.руб., 2017г. - 7548,58 тыс.руб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Внедрение энергосберегающих светильников нового поколения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30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бюджеты поселений Рузского муниципального района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Совокупность затрат на Увеличение доли освещенных улиц, проездов, площадей с уровнем освещенности соответствующим установленным нормативам в общей протяженности освещенных улиц, проездов, набережных, площадей на территории Рузского муниципального района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14592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2016г.-14592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Увеличение доли освещенных улиц, проездов, площадей с уровнем освещенности соответствующим установленным нормативам в общей протяженности освещенных улиц, проездов, набережных, площадей на территории Рузского муниципального района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123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31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бюджеты поселений Рузского муниципального района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Совокупность затрат на Светотехническое обследование улиц, проездов, набережных, площадей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2016г.-2000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Светотехническое обследование улиц, проездов, набережных, площадей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32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бюджеты поселений Рузского муниципального района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Совокупность затрат на Замена опор со сверхнормативным сроком службы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2015г.-2000 тыс.руб., 2016г. - 2900 тыс.руб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Замена опор со сверхнормативным сроком службы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33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бюджеты поселений Рузского муниципального района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Совокупность затрат на Заключение </w:t>
            </w:r>
            <w:proofErr w:type="spellStart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энергосервисных</w:t>
            </w:r>
            <w:proofErr w:type="spellEnd"/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договоров и привлечение частных инвестиций с целью их реализации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3000 тыс.руб.</w:t>
            </w: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, 2015г.-3000 тыс.руб.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7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77F9" w:rsidRPr="001977F9" w:rsidTr="001977F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Заключение </w:t>
            </w:r>
            <w:proofErr w:type="spellStart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энергосервисных</w:t>
            </w:r>
            <w:proofErr w:type="spellEnd"/>
            <w:r w:rsidRPr="00197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договоров и привлечение частных инвестиций с целью их реализации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7F9" w:rsidRPr="001977F9" w:rsidTr="001977F9">
        <w:trPr>
          <w:trHeight w:val="40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7F9" w:rsidRPr="001977F9" w:rsidRDefault="001977F9" w:rsidP="0019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977F9" w:rsidRDefault="001977F9"/>
    <w:sectPr w:rsidR="001977F9" w:rsidSect="008D0F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319"/>
    <w:multiLevelType w:val="hybridMultilevel"/>
    <w:tmpl w:val="9810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A64ABD"/>
    <w:multiLevelType w:val="hybridMultilevel"/>
    <w:tmpl w:val="0F1CF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B7EF8"/>
    <w:multiLevelType w:val="hybridMultilevel"/>
    <w:tmpl w:val="78863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C45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B5"/>
    <w:rsid w:val="000944FD"/>
    <w:rsid w:val="001977F9"/>
    <w:rsid w:val="001E38A0"/>
    <w:rsid w:val="00767985"/>
    <w:rsid w:val="00854CB5"/>
    <w:rsid w:val="008D0F52"/>
    <w:rsid w:val="009F142D"/>
    <w:rsid w:val="00AD42F4"/>
    <w:rsid w:val="00CA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56D44-A634-49B7-9B8E-79FA656E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44FD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944FD"/>
    <w:pPr>
      <w:keepNext/>
      <w:tabs>
        <w:tab w:val="left" w:pos="407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98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944F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4FD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customStyle="1" w:styleId="ConsPlusNormal">
    <w:name w:val="ConsPlusNormal"/>
    <w:rsid w:val="00094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1977F9"/>
    <w:rPr>
      <w:color w:val="800080"/>
      <w:u w:val="single"/>
    </w:rPr>
  </w:style>
  <w:style w:type="paragraph" w:customStyle="1" w:styleId="xl65">
    <w:name w:val="xl65"/>
    <w:basedOn w:val="a"/>
    <w:rsid w:val="0019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7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7">
    <w:name w:val="xl67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8">
    <w:name w:val="xl68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69">
    <w:name w:val="xl69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7">
    <w:name w:val="xl77"/>
    <w:basedOn w:val="a"/>
    <w:rsid w:val="0019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9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80">
    <w:name w:val="xl80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83">
    <w:name w:val="xl83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97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5">
    <w:name w:val="xl85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88">
    <w:name w:val="xl88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1"/>
      <w:szCs w:val="21"/>
      <w:lang w:eastAsia="ru-RU"/>
    </w:rPr>
  </w:style>
  <w:style w:type="paragraph" w:customStyle="1" w:styleId="xl91">
    <w:name w:val="xl91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92">
    <w:name w:val="xl92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95">
    <w:name w:val="xl95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99">
    <w:name w:val="xl99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00">
    <w:name w:val="xl100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1">
    <w:name w:val="xl101"/>
    <w:basedOn w:val="a"/>
    <w:rsid w:val="0019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977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977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4">
    <w:name w:val="xl104"/>
    <w:basedOn w:val="a"/>
    <w:rsid w:val="00197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5">
    <w:name w:val="xl105"/>
    <w:basedOn w:val="a"/>
    <w:rsid w:val="00197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6">
    <w:name w:val="xl106"/>
    <w:basedOn w:val="a"/>
    <w:rsid w:val="001977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977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97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9">
    <w:name w:val="xl109"/>
    <w:basedOn w:val="a"/>
    <w:rsid w:val="001977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10">
    <w:name w:val="xl110"/>
    <w:basedOn w:val="a"/>
    <w:rsid w:val="00197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11">
    <w:name w:val="xl111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12">
    <w:name w:val="xl112"/>
    <w:basedOn w:val="a"/>
    <w:rsid w:val="001977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3">
    <w:name w:val="xl113"/>
    <w:basedOn w:val="a"/>
    <w:rsid w:val="00197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4">
    <w:name w:val="xl114"/>
    <w:basedOn w:val="a"/>
    <w:rsid w:val="001977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977F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977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1977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19">
    <w:name w:val="xl119"/>
    <w:basedOn w:val="a"/>
    <w:rsid w:val="001977F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20">
    <w:name w:val="xl120"/>
    <w:basedOn w:val="a"/>
    <w:rsid w:val="001977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21">
    <w:name w:val="xl121"/>
    <w:basedOn w:val="a"/>
    <w:rsid w:val="001977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1977F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977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1977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1977F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1977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1977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28">
    <w:name w:val="xl128"/>
    <w:basedOn w:val="a"/>
    <w:rsid w:val="00197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29">
    <w:name w:val="xl129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0">
    <w:name w:val="xl130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1">
    <w:name w:val="xl131"/>
    <w:basedOn w:val="a"/>
    <w:rsid w:val="001977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2">
    <w:name w:val="xl132"/>
    <w:basedOn w:val="a"/>
    <w:rsid w:val="001977F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3">
    <w:name w:val="xl133"/>
    <w:basedOn w:val="a"/>
    <w:rsid w:val="001977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4">
    <w:name w:val="xl134"/>
    <w:basedOn w:val="a"/>
    <w:rsid w:val="001977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1"/>
      <w:szCs w:val="21"/>
      <w:lang w:eastAsia="ru-RU"/>
    </w:rPr>
  </w:style>
  <w:style w:type="paragraph" w:customStyle="1" w:styleId="xl135">
    <w:name w:val="xl135"/>
    <w:basedOn w:val="a"/>
    <w:rsid w:val="001977F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6">
    <w:name w:val="xl136"/>
    <w:basedOn w:val="a"/>
    <w:rsid w:val="001977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7">
    <w:name w:val="xl137"/>
    <w:basedOn w:val="a"/>
    <w:rsid w:val="0019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977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1977F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0">
    <w:name w:val="xl140"/>
    <w:basedOn w:val="a"/>
    <w:rsid w:val="001977F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1">
    <w:name w:val="xl141"/>
    <w:basedOn w:val="a"/>
    <w:rsid w:val="001977F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2">
    <w:name w:val="xl142"/>
    <w:basedOn w:val="a"/>
    <w:rsid w:val="001977F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3">
    <w:name w:val="xl143"/>
    <w:basedOn w:val="a"/>
    <w:rsid w:val="001977F9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4">
    <w:name w:val="xl144"/>
    <w:basedOn w:val="a"/>
    <w:rsid w:val="001977F9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5">
    <w:name w:val="xl145"/>
    <w:basedOn w:val="a"/>
    <w:rsid w:val="001977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46">
    <w:name w:val="xl146"/>
    <w:basedOn w:val="a"/>
    <w:rsid w:val="001977F9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47">
    <w:name w:val="xl147"/>
    <w:basedOn w:val="a"/>
    <w:rsid w:val="001977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48">
    <w:name w:val="xl148"/>
    <w:basedOn w:val="a"/>
    <w:rsid w:val="001977F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49">
    <w:name w:val="xl149"/>
    <w:basedOn w:val="a"/>
    <w:rsid w:val="001977F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0">
    <w:name w:val="xl150"/>
    <w:basedOn w:val="a"/>
    <w:rsid w:val="001977F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1">
    <w:name w:val="xl151"/>
    <w:basedOn w:val="a"/>
    <w:rsid w:val="001977F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2">
    <w:name w:val="xl152"/>
    <w:basedOn w:val="a"/>
    <w:rsid w:val="001977F9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3">
    <w:name w:val="xl153"/>
    <w:basedOn w:val="a"/>
    <w:rsid w:val="001977F9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4">
    <w:name w:val="xl154"/>
    <w:basedOn w:val="a"/>
    <w:rsid w:val="00197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lesnikovaAA\Desktop\&#1069;&#1053;&#1045;&#1056;&#1043;&#1054;&#1069;&#1060;&#1060;&#1045;&#1050;&#1058;&#1048;&#1042;&#1053;&#1054;&#1057;&#1058;&#1068;\&#1052;&#1055;\&#1048;&#1079;&#1084;&#1077;&#1085;&#1077;&#1085;&#1080;&#1103;%20&#1074;%20&#1052;&#1055;%20&#1084;&#1072;&#1081;%202017\&#1052;&#1055;%20&#1069;&#1053;&#1045;&#1056;&#1043;&#1054;&#1069;&#1060;&#1060;&#1045;&#1050;&#1058;&#1048;&#1042;&#1053;&#1054;&#1057;&#1058;&#1068;%2012.05.2017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KolesnikovaAA\Desktop\&#1069;&#1053;&#1045;&#1056;&#1043;&#1054;&#1069;&#1060;&#1060;&#1045;&#1050;&#1058;&#1048;&#1042;&#1053;&#1054;&#1057;&#1058;&#1068;\&#1052;&#1055;\&#1048;&#1079;&#1084;&#1077;&#1085;&#1077;&#1085;&#1080;&#1103;%20&#1074;%20&#1052;&#1055;%20&#1084;&#1072;&#1081;%202017\&#1052;&#1055;%20&#1069;&#1053;&#1045;&#1056;&#1043;&#1054;&#1069;&#1060;&#1060;&#1045;&#1050;&#1058;&#1048;&#1042;&#1053;&#1054;&#1057;&#1058;&#1068;%2012.05.2017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olesnikovaAA\Desktop\&#1069;&#1053;&#1045;&#1056;&#1043;&#1054;&#1069;&#1060;&#1060;&#1045;&#1050;&#1058;&#1048;&#1042;&#1053;&#1054;&#1057;&#1058;&#1068;\&#1052;&#1055;\&#1048;&#1079;&#1084;&#1077;&#1085;&#1077;&#1085;&#1080;&#1103;%20&#1074;%20&#1052;&#1055;%20&#1084;&#1072;&#1081;%202017\&#1052;&#1055;%20&#1069;&#1053;&#1045;&#1056;&#1043;&#1054;&#1069;&#1060;&#1060;&#1045;&#1050;&#1058;&#1048;&#1042;&#1053;&#1054;&#1057;&#1058;&#1068;%2012.05.2017.xlsx" TargetMode="External"/><Relationship Id="rId11" Type="http://schemas.openxmlformats.org/officeDocument/2006/relationships/hyperlink" Target="file:///C:\Users\KolesnikovaAA\Desktop\&#1069;&#1053;&#1045;&#1056;&#1043;&#1054;&#1069;&#1060;&#1060;&#1045;&#1050;&#1058;&#1048;&#1042;&#1053;&#1054;&#1057;&#1058;&#1068;\&#1052;&#1055;\&#1048;&#1079;&#1084;&#1077;&#1085;&#1077;&#1085;&#1080;&#1103;%20&#1074;%20&#1052;&#1055;%20&#1084;&#1072;&#1081;%202017\&#1052;&#1055;%20&#1069;&#1053;&#1045;&#1056;&#1043;&#1054;&#1069;&#1060;&#1060;&#1045;&#1050;&#1058;&#1048;&#1042;&#1053;&#1054;&#1057;&#1058;&#1068;%2012.05.2017.xlsx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KolesnikovaAA\Desktop\&#1069;&#1053;&#1045;&#1056;&#1043;&#1054;&#1069;&#1060;&#1060;&#1045;&#1050;&#1058;&#1048;&#1042;&#1053;&#1054;&#1057;&#1058;&#1068;\&#1052;&#1055;\&#1048;&#1079;&#1084;&#1077;&#1085;&#1077;&#1085;&#1080;&#1103;%20&#1074;%20&#1052;&#1055;%20&#1084;&#1072;&#1081;%202017\&#1052;&#1055;%20&#1069;&#1053;&#1045;&#1056;&#1043;&#1054;&#1069;&#1060;&#1060;&#1045;&#1050;&#1058;&#1048;&#1042;&#1053;&#1054;&#1057;&#1058;&#1068;%2012.05.2017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olesnikovaAA\Desktop\&#1069;&#1053;&#1045;&#1056;&#1043;&#1054;&#1069;&#1060;&#1060;&#1045;&#1050;&#1058;&#1048;&#1042;&#1053;&#1054;&#1057;&#1058;&#1068;\&#1052;&#1055;\&#1048;&#1079;&#1084;&#1077;&#1085;&#1077;&#1085;&#1080;&#1103;%20&#1074;%20&#1052;&#1055;%20&#1084;&#1072;&#1081;%202017\&#1052;&#1055;%20&#1069;&#1053;&#1045;&#1056;&#1043;&#1054;&#1069;&#1060;&#1060;&#1045;&#1050;&#1058;&#1048;&#1042;&#1053;&#1054;&#1057;&#1058;&#1068;%2012.05.2017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7526</Words>
  <Characters>42903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KolesnikovaAA</dc:creator>
  <cp:keywords/>
  <dc:description/>
  <cp:lastModifiedBy>KolesnikovaAA</cp:lastModifiedBy>
  <cp:revision>4</cp:revision>
  <dcterms:created xsi:type="dcterms:W3CDTF">2017-05-23T05:42:00Z</dcterms:created>
  <dcterms:modified xsi:type="dcterms:W3CDTF">2017-05-23T07:18:00Z</dcterms:modified>
</cp:coreProperties>
</file>