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943DFF" w:rsidRDefault="00A13585" w:rsidP="00F40BA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 xml:space="preserve">о результатах </w:t>
      </w:r>
      <w:proofErr w:type="gramStart"/>
      <w:r w:rsidR="00A950D3" w:rsidRPr="00943DFF">
        <w:rPr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 w:rsidR="00A950D3" w:rsidRPr="00943DFF">
        <w:rPr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 муниципальным бюджетным </w:t>
      </w:r>
      <w:r w:rsidR="00785570">
        <w:rPr>
          <w:b/>
          <w:sz w:val="24"/>
          <w:szCs w:val="24"/>
        </w:rPr>
        <w:t>обще</w:t>
      </w:r>
      <w:r w:rsidR="00A950D3" w:rsidRPr="00943DFF">
        <w:rPr>
          <w:b/>
          <w:sz w:val="24"/>
          <w:szCs w:val="24"/>
        </w:rPr>
        <w:t xml:space="preserve">образовательным учреждением </w:t>
      </w:r>
      <w:r w:rsidR="00F40BAF" w:rsidRPr="00F40BAF">
        <w:rPr>
          <w:b/>
          <w:bCs/>
          <w:sz w:val="24"/>
          <w:szCs w:val="24"/>
        </w:rPr>
        <w:t>«Средняя общеобразовательная школа № 2 г. Рузы»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C612DD" w:rsidRDefault="00155DFF" w:rsidP="00155DFF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132FE" w:rsidRPr="00C612DD">
        <w:rPr>
          <w:rFonts w:ascii="Times New Roman" w:hAnsi="Times New Roman"/>
          <w:sz w:val="24"/>
          <w:szCs w:val="24"/>
        </w:rPr>
        <w:t xml:space="preserve">Пункт </w:t>
      </w:r>
      <w:r w:rsidR="00105071">
        <w:rPr>
          <w:rFonts w:ascii="Times New Roman" w:hAnsi="Times New Roman"/>
          <w:sz w:val="24"/>
          <w:szCs w:val="24"/>
        </w:rPr>
        <w:t>6</w:t>
      </w:r>
      <w:r w:rsidR="00A13585" w:rsidRPr="00C612DD">
        <w:rPr>
          <w:rFonts w:ascii="Times New Roman" w:hAnsi="Times New Roman"/>
          <w:sz w:val="24"/>
          <w:szCs w:val="24"/>
        </w:rPr>
        <w:t xml:space="preserve"> Плана проведения Финансовым управлением </w:t>
      </w:r>
      <w:proofErr w:type="gramStart"/>
      <w:r w:rsidR="00A13585" w:rsidRPr="00C612DD">
        <w:rPr>
          <w:rFonts w:ascii="Times New Roman" w:hAnsi="Times New Roman"/>
          <w:sz w:val="24"/>
          <w:szCs w:val="24"/>
        </w:rPr>
        <w:t>Администрации Рузского городского округа плановых проверок определения поставщиков</w:t>
      </w:r>
      <w:proofErr w:type="gramEnd"/>
      <w:r w:rsidR="00A13585" w:rsidRPr="00C612DD">
        <w:rPr>
          <w:rFonts w:ascii="Times New Roman" w:hAnsi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городского округа на 202</w:t>
      </w:r>
      <w:r w:rsidR="00FA0D3A" w:rsidRPr="00C612DD">
        <w:rPr>
          <w:rFonts w:ascii="Times New Roman" w:hAnsi="Times New Roman"/>
          <w:sz w:val="24"/>
          <w:szCs w:val="24"/>
        </w:rPr>
        <w:t>3</w:t>
      </w:r>
      <w:r w:rsidR="00A13585" w:rsidRPr="00C612DD">
        <w:rPr>
          <w:rFonts w:ascii="Times New Roman" w:hAnsi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</w:t>
      </w:r>
      <w:r w:rsidR="0054790F" w:rsidRPr="00C612DD">
        <w:rPr>
          <w:rFonts w:ascii="Times New Roman" w:hAnsi="Times New Roman"/>
          <w:sz w:val="24"/>
          <w:szCs w:val="24"/>
        </w:rPr>
        <w:t>2</w:t>
      </w:r>
      <w:r w:rsidR="00FA0D3A" w:rsidRPr="00C612DD">
        <w:rPr>
          <w:rFonts w:ascii="Times New Roman" w:hAnsi="Times New Roman"/>
          <w:sz w:val="24"/>
          <w:szCs w:val="24"/>
        </w:rPr>
        <w:t>8</w:t>
      </w:r>
      <w:r w:rsidR="00A13585" w:rsidRPr="00C612DD">
        <w:rPr>
          <w:rFonts w:ascii="Times New Roman" w:hAnsi="Times New Roman"/>
          <w:sz w:val="24"/>
          <w:szCs w:val="24"/>
        </w:rPr>
        <w:t>.12.202</w:t>
      </w:r>
      <w:r w:rsidR="00FA0D3A" w:rsidRPr="00C612DD">
        <w:rPr>
          <w:rFonts w:ascii="Times New Roman" w:hAnsi="Times New Roman"/>
          <w:sz w:val="24"/>
          <w:szCs w:val="24"/>
        </w:rPr>
        <w:t>2</w:t>
      </w:r>
      <w:r w:rsidR="00A13585" w:rsidRPr="00C612DD">
        <w:rPr>
          <w:rFonts w:ascii="Times New Roman" w:hAnsi="Times New Roman"/>
          <w:sz w:val="24"/>
          <w:szCs w:val="24"/>
        </w:rPr>
        <w:t xml:space="preserve"> № </w:t>
      </w:r>
      <w:r w:rsidR="00FA0D3A" w:rsidRPr="00C612DD">
        <w:rPr>
          <w:rFonts w:ascii="Times New Roman" w:hAnsi="Times New Roman"/>
          <w:sz w:val="24"/>
          <w:szCs w:val="24"/>
        </w:rPr>
        <w:t>6432</w:t>
      </w:r>
      <w:r w:rsidR="009132FE" w:rsidRPr="00C612DD">
        <w:rPr>
          <w:rFonts w:ascii="Times New Roman" w:hAnsi="Times New Roman"/>
          <w:sz w:val="24"/>
          <w:szCs w:val="24"/>
        </w:rPr>
        <w:t>;</w:t>
      </w:r>
    </w:p>
    <w:p w:rsidR="009132FE" w:rsidRPr="00155DFF" w:rsidRDefault="00155DFF" w:rsidP="00155DFF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65E83" w:rsidRPr="00155DFF">
        <w:rPr>
          <w:sz w:val="24"/>
          <w:szCs w:val="24"/>
        </w:rPr>
        <w:t xml:space="preserve">Приказ </w:t>
      </w:r>
      <w:r w:rsidR="00A13585" w:rsidRPr="00155DFF">
        <w:rPr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FA0D3A" w:rsidRPr="00155DFF">
        <w:rPr>
          <w:sz w:val="24"/>
          <w:szCs w:val="24"/>
        </w:rPr>
        <w:t>0</w:t>
      </w:r>
      <w:r w:rsidR="00351DD3">
        <w:rPr>
          <w:sz w:val="24"/>
          <w:szCs w:val="24"/>
        </w:rPr>
        <w:t>5</w:t>
      </w:r>
      <w:r w:rsidR="00A950D3" w:rsidRPr="00155DFF">
        <w:rPr>
          <w:sz w:val="24"/>
          <w:szCs w:val="24"/>
        </w:rPr>
        <w:t>.0</w:t>
      </w:r>
      <w:r w:rsidR="00351DD3">
        <w:rPr>
          <w:sz w:val="24"/>
          <w:szCs w:val="24"/>
        </w:rPr>
        <w:t>9</w:t>
      </w:r>
      <w:r w:rsidR="00A950D3" w:rsidRPr="00155DFF">
        <w:rPr>
          <w:sz w:val="24"/>
          <w:szCs w:val="24"/>
        </w:rPr>
        <w:t>.202</w:t>
      </w:r>
      <w:r w:rsidR="00FA0D3A" w:rsidRPr="00155DFF">
        <w:rPr>
          <w:sz w:val="24"/>
          <w:szCs w:val="24"/>
        </w:rPr>
        <w:t>3</w:t>
      </w:r>
      <w:r w:rsidR="00A950D3" w:rsidRPr="00155DFF">
        <w:rPr>
          <w:sz w:val="24"/>
          <w:szCs w:val="24"/>
        </w:rPr>
        <w:t xml:space="preserve"> № </w:t>
      </w:r>
      <w:r w:rsidR="00351DD3">
        <w:rPr>
          <w:sz w:val="24"/>
          <w:szCs w:val="24"/>
        </w:rPr>
        <w:t>290</w:t>
      </w:r>
      <w:r w:rsidR="009132FE" w:rsidRPr="00155DFF">
        <w:rPr>
          <w:sz w:val="24"/>
          <w:szCs w:val="24"/>
        </w:rPr>
        <w:t>.</w:t>
      </w:r>
    </w:p>
    <w:p w:rsidR="009132FE" w:rsidRPr="005C0D6E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5C0D6E">
        <w:rPr>
          <w:b/>
          <w:sz w:val="24"/>
          <w:szCs w:val="24"/>
        </w:rPr>
        <w:t>2. Предмет контрольного мероприятия:</w:t>
      </w:r>
    </w:p>
    <w:p w:rsidR="00302FF3" w:rsidRPr="00302FF3" w:rsidRDefault="00A950D3" w:rsidP="00634C4A">
      <w:pPr>
        <w:autoSpaceDE w:val="0"/>
        <w:autoSpaceDN w:val="0"/>
        <w:adjustRightInd w:val="0"/>
        <w:spacing w:line="360" w:lineRule="auto"/>
        <w:ind w:left="142" w:firstLine="218"/>
        <w:rPr>
          <w:sz w:val="24"/>
          <w:szCs w:val="24"/>
        </w:rPr>
      </w:pPr>
      <w:r w:rsidRPr="005C0D6E">
        <w:rPr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</w:t>
      </w:r>
      <w:r w:rsidR="00785570" w:rsidRPr="005C0D6E">
        <w:rPr>
          <w:sz w:val="24"/>
          <w:szCs w:val="24"/>
        </w:rPr>
        <w:t>обще</w:t>
      </w:r>
      <w:r w:rsidRPr="005C0D6E">
        <w:rPr>
          <w:sz w:val="24"/>
          <w:szCs w:val="24"/>
        </w:rPr>
        <w:t xml:space="preserve">образовательным учреждением </w:t>
      </w:r>
      <w:r w:rsidR="007E05E0" w:rsidRPr="007E05E0">
        <w:rPr>
          <w:sz w:val="24"/>
          <w:szCs w:val="24"/>
        </w:rPr>
        <w:t>«Средняя общеобразовательная школа № 2 г. Рузы»</w:t>
      </w:r>
      <w:r w:rsidR="00155DFF">
        <w:rPr>
          <w:sz w:val="24"/>
          <w:szCs w:val="24"/>
        </w:rPr>
        <w:t>.</w:t>
      </w:r>
    </w:p>
    <w:p w:rsidR="009132FE" w:rsidRPr="00155DFF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55DFF">
        <w:rPr>
          <w:b/>
          <w:sz w:val="24"/>
          <w:szCs w:val="24"/>
        </w:rPr>
        <w:t>3. Субъект проверки:</w:t>
      </w:r>
    </w:p>
    <w:p w:rsidR="0034232B" w:rsidRPr="0034232B" w:rsidRDefault="00634C4A" w:rsidP="00634C4A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142" w:firstLine="66"/>
        <w:jc w:val="both"/>
        <w:rPr>
          <w:highlight w:val="yellow"/>
        </w:rPr>
      </w:pPr>
      <w:r w:rsidRPr="00155DFF">
        <w:tab/>
      </w:r>
      <w:r w:rsidR="00A950D3" w:rsidRPr="00155DFF">
        <w:t xml:space="preserve">Муниципальное бюджетное </w:t>
      </w:r>
      <w:r w:rsidR="00785570" w:rsidRPr="00155DFF">
        <w:t>обще</w:t>
      </w:r>
      <w:r w:rsidR="00A950D3" w:rsidRPr="00155DFF">
        <w:t xml:space="preserve">образовательное учреждение </w:t>
      </w:r>
      <w:r w:rsidR="007E05E0" w:rsidRPr="007E05E0">
        <w:t>«Средняя общеобразовательная школа № 2 г. Рузы»</w:t>
      </w:r>
      <w:r w:rsidR="00A950D3" w:rsidRPr="00155DFF">
        <w:t xml:space="preserve">, сокращенное наименование – </w:t>
      </w:r>
      <w:r w:rsidR="007E05E0" w:rsidRPr="007E05E0">
        <w:t>МБОУ «СОШ № 2 г. Рузы»</w:t>
      </w:r>
      <w:r w:rsidR="0034232B" w:rsidRPr="0034232B">
        <w:t xml:space="preserve">, ИНН </w:t>
      </w:r>
      <w:r w:rsidR="00AA1441" w:rsidRPr="00AA1441">
        <w:t>507500969</w:t>
      </w:r>
      <w:r w:rsidR="0034232B" w:rsidRPr="0034232B">
        <w:t>, КПП 507501001.</w:t>
      </w:r>
    </w:p>
    <w:p w:rsidR="009132FE" w:rsidRPr="00155DFF" w:rsidRDefault="00A13585" w:rsidP="00A950D3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55DFF">
        <w:rPr>
          <w:color w:val="323232"/>
        </w:rPr>
        <w:tab/>
      </w:r>
      <w:r w:rsidRPr="00155DFF">
        <w:rPr>
          <w:color w:val="323232"/>
        </w:rPr>
        <w:tab/>
      </w:r>
      <w:r w:rsidR="009132FE" w:rsidRPr="00155DFF">
        <w:rPr>
          <w:color w:val="323232"/>
        </w:rPr>
        <w:tab/>
      </w:r>
    </w:p>
    <w:p w:rsidR="009132FE" w:rsidRPr="00E95E19" w:rsidRDefault="00155DFF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E95E19">
        <w:rPr>
          <w:b/>
          <w:color w:val="323232"/>
        </w:rPr>
        <w:t>4</w:t>
      </w:r>
      <w:r w:rsidR="009132FE" w:rsidRPr="00E95E19">
        <w:rPr>
          <w:b/>
          <w:color w:val="323232"/>
        </w:rPr>
        <w:t xml:space="preserve">. Срок проведения контрольного мероприятия: </w:t>
      </w:r>
      <w:r w:rsidR="009132FE" w:rsidRPr="00E95E19">
        <w:rPr>
          <w:color w:val="323232"/>
        </w:rPr>
        <w:t>с</w:t>
      </w:r>
      <w:r w:rsidR="009132FE" w:rsidRPr="00E95E19">
        <w:rPr>
          <w:b/>
          <w:color w:val="323232"/>
        </w:rPr>
        <w:t xml:space="preserve"> </w:t>
      </w:r>
      <w:r w:rsidR="00FA0D3A" w:rsidRPr="00E95E19">
        <w:t>1</w:t>
      </w:r>
      <w:r w:rsidR="00E95E19" w:rsidRPr="00E95E19">
        <w:t>4</w:t>
      </w:r>
      <w:r w:rsidR="00A950D3" w:rsidRPr="00E95E19">
        <w:t>.0</w:t>
      </w:r>
      <w:r w:rsidR="00AA1441">
        <w:t>9</w:t>
      </w:r>
      <w:r w:rsidR="00A950D3" w:rsidRPr="00E95E19">
        <w:t>.202</w:t>
      </w:r>
      <w:r w:rsidR="00FA0D3A" w:rsidRPr="00E95E19">
        <w:t>3</w:t>
      </w:r>
      <w:r w:rsidR="009132FE" w:rsidRPr="00E95E19">
        <w:rPr>
          <w:color w:val="323232"/>
        </w:rPr>
        <w:t xml:space="preserve"> по </w:t>
      </w:r>
      <w:r w:rsidR="00AA1441">
        <w:rPr>
          <w:color w:val="323232"/>
        </w:rPr>
        <w:t>29</w:t>
      </w:r>
      <w:r w:rsidR="00A950D3" w:rsidRPr="00E95E19">
        <w:t>.0</w:t>
      </w:r>
      <w:r w:rsidR="00AA1441">
        <w:t>9</w:t>
      </w:r>
      <w:r w:rsidR="00A950D3" w:rsidRPr="00E95E19">
        <w:t>.202</w:t>
      </w:r>
      <w:r w:rsidR="00FA0D3A" w:rsidRPr="00E95E19">
        <w:t>3</w:t>
      </w:r>
      <w:r w:rsidR="009132FE" w:rsidRPr="00E95E19">
        <w:rPr>
          <w:color w:val="323232"/>
        </w:rPr>
        <w:t>.</w:t>
      </w:r>
      <w:r w:rsidR="009132FE" w:rsidRPr="00E95E19">
        <w:rPr>
          <w:b/>
          <w:color w:val="323232"/>
        </w:rPr>
        <w:t xml:space="preserve"> </w:t>
      </w:r>
    </w:p>
    <w:p w:rsidR="009132FE" w:rsidRPr="00E95E19" w:rsidRDefault="00155DFF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E95E19">
        <w:rPr>
          <w:b/>
          <w:color w:val="323232"/>
        </w:rPr>
        <w:t>5</w:t>
      </w:r>
      <w:r w:rsidR="009132FE" w:rsidRPr="00E95E19">
        <w:rPr>
          <w:b/>
          <w:color w:val="323232"/>
        </w:rPr>
        <w:t>. Проверяемый период:</w:t>
      </w:r>
      <w:r w:rsidR="009132FE" w:rsidRPr="00E95E19">
        <w:rPr>
          <w:color w:val="323232"/>
        </w:rPr>
        <w:t xml:space="preserve"> </w:t>
      </w:r>
      <w:r w:rsidR="009132FE" w:rsidRPr="00E95E19">
        <w:rPr>
          <w:rFonts w:eastAsia="Calibri"/>
        </w:rPr>
        <w:t xml:space="preserve">с </w:t>
      </w:r>
      <w:r w:rsidR="00943DFF" w:rsidRPr="00E95E19">
        <w:t>01.0</w:t>
      </w:r>
      <w:r w:rsidR="00AA1441">
        <w:t>9</w:t>
      </w:r>
      <w:r w:rsidR="00943DFF" w:rsidRPr="00E95E19">
        <w:t>.202</w:t>
      </w:r>
      <w:r w:rsidR="00FA0D3A" w:rsidRPr="00E95E19">
        <w:t>2</w:t>
      </w:r>
      <w:r w:rsidR="00943DFF" w:rsidRPr="00E95E19">
        <w:t xml:space="preserve"> по </w:t>
      </w:r>
      <w:r w:rsidR="00AA1441">
        <w:t>29</w:t>
      </w:r>
      <w:r w:rsidR="00943DFF" w:rsidRPr="00E95E19">
        <w:t>.0</w:t>
      </w:r>
      <w:r w:rsidR="00AA1441">
        <w:t>9</w:t>
      </w:r>
      <w:r w:rsidR="00943DFF" w:rsidRPr="00E95E19">
        <w:t>.202</w:t>
      </w:r>
      <w:r w:rsidR="00FA0D3A" w:rsidRPr="00E95E19">
        <w:t>3</w:t>
      </w:r>
      <w:r w:rsidR="009132FE" w:rsidRPr="00E95E19">
        <w:rPr>
          <w:rFonts w:eastAsia="Calibri"/>
        </w:rPr>
        <w:t>.</w:t>
      </w:r>
    </w:p>
    <w:p w:rsidR="009132FE" w:rsidRPr="00E95E19" w:rsidRDefault="00155DFF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E95E19">
        <w:rPr>
          <w:b/>
          <w:color w:val="323232"/>
        </w:rPr>
        <w:t>6</w:t>
      </w:r>
      <w:r w:rsidR="009132FE" w:rsidRPr="00E95E19">
        <w:rPr>
          <w:b/>
          <w:color w:val="323232"/>
        </w:rPr>
        <w:t>.</w:t>
      </w:r>
      <w:r w:rsidR="009132FE" w:rsidRPr="00E95E19">
        <w:rPr>
          <w:color w:val="323232"/>
        </w:rPr>
        <w:t xml:space="preserve"> </w:t>
      </w:r>
      <w:r w:rsidR="009132FE" w:rsidRPr="00E95E19">
        <w:rPr>
          <w:b/>
          <w:color w:val="323232"/>
        </w:rPr>
        <w:t>Способ проверки:</w:t>
      </w:r>
      <w:r w:rsidR="009132FE" w:rsidRPr="00E95E19">
        <w:rPr>
          <w:color w:val="323232"/>
        </w:rPr>
        <w:t xml:space="preserve"> выборочная. </w:t>
      </w:r>
    </w:p>
    <w:p w:rsidR="009132FE" w:rsidRPr="00E95E19" w:rsidRDefault="00155DFF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E95E19">
        <w:rPr>
          <w:b/>
          <w:sz w:val="24"/>
          <w:szCs w:val="24"/>
        </w:rPr>
        <w:t>7</w:t>
      </w:r>
      <w:r w:rsidR="009132FE" w:rsidRPr="00E95E19">
        <w:rPr>
          <w:b/>
          <w:sz w:val="24"/>
          <w:szCs w:val="24"/>
        </w:rPr>
        <w:t xml:space="preserve">. </w:t>
      </w:r>
      <w:r w:rsidR="00910E90">
        <w:rPr>
          <w:b/>
          <w:sz w:val="24"/>
          <w:szCs w:val="24"/>
        </w:rPr>
        <w:t xml:space="preserve"> </w:t>
      </w:r>
      <w:r w:rsidR="009132FE" w:rsidRPr="00E95E19">
        <w:rPr>
          <w:b/>
          <w:sz w:val="24"/>
          <w:szCs w:val="24"/>
        </w:rPr>
        <w:t xml:space="preserve">По результатам контрольного мероприятия выявлены нарушения и замечания: </w:t>
      </w: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425"/>
        <w:gridCol w:w="2127"/>
        <w:gridCol w:w="4252"/>
        <w:gridCol w:w="1418"/>
        <w:gridCol w:w="1842"/>
      </w:tblGrid>
      <w:tr w:rsidR="005E085E" w:rsidRPr="001F216F" w:rsidTr="0048356C">
        <w:trPr>
          <w:trHeight w:val="1255"/>
        </w:trPr>
        <w:tc>
          <w:tcPr>
            <w:tcW w:w="425" w:type="dxa"/>
            <w:vAlign w:val="center"/>
          </w:tcPr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F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F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F4C">
              <w:rPr>
                <w:sz w:val="24"/>
                <w:szCs w:val="24"/>
              </w:rPr>
              <w:t>/</w:t>
            </w:r>
            <w:proofErr w:type="spellStart"/>
            <w:r w:rsidRPr="00335F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5E085E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F4C">
              <w:rPr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F4C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vAlign w:val="center"/>
          </w:tcPr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F4C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842" w:type="dxa"/>
            <w:vAlign w:val="center"/>
          </w:tcPr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F4C">
              <w:rPr>
                <w:sz w:val="24"/>
                <w:szCs w:val="24"/>
              </w:rPr>
              <w:t>Ответствен</w:t>
            </w:r>
          </w:p>
          <w:p w:rsidR="005E085E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35F4C">
              <w:rPr>
                <w:sz w:val="24"/>
                <w:szCs w:val="24"/>
              </w:rPr>
              <w:t>ность</w:t>
            </w:r>
            <w:proofErr w:type="spellEnd"/>
            <w:r w:rsidRPr="00335F4C">
              <w:rPr>
                <w:sz w:val="24"/>
                <w:szCs w:val="24"/>
              </w:rPr>
              <w:t xml:space="preserve"> по  </w:t>
            </w:r>
          </w:p>
          <w:p w:rsidR="005E085E" w:rsidRPr="00335F4C" w:rsidRDefault="005E085E" w:rsidP="0048356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66A44">
              <w:rPr>
                <w:sz w:val="24"/>
                <w:szCs w:val="24"/>
              </w:rPr>
              <w:t>КоАП</w:t>
            </w:r>
            <w:proofErr w:type="spellEnd"/>
            <w:r w:rsidRPr="00866A44">
              <w:rPr>
                <w:sz w:val="24"/>
                <w:szCs w:val="24"/>
              </w:rPr>
              <w:t xml:space="preserve"> РФ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E085E" w:rsidRPr="001F216F" w:rsidTr="0048356C">
        <w:trPr>
          <w:cantSplit/>
          <w:trHeight w:val="2112"/>
        </w:trPr>
        <w:tc>
          <w:tcPr>
            <w:tcW w:w="425" w:type="dxa"/>
            <w:vAlign w:val="center"/>
          </w:tcPr>
          <w:p w:rsidR="005E085E" w:rsidRPr="00347968" w:rsidRDefault="005E085E" w:rsidP="0048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E085E" w:rsidRDefault="005E085E" w:rsidP="0048356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47968">
              <w:rPr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  <w:p w:rsidR="005E085E" w:rsidRPr="00347968" w:rsidRDefault="005E085E" w:rsidP="0048356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085E" w:rsidRPr="00347968" w:rsidRDefault="005E085E" w:rsidP="0048356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47968">
              <w:rPr>
                <w:sz w:val="24"/>
                <w:szCs w:val="24"/>
              </w:rPr>
              <w:t xml:space="preserve">Отражение в </w:t>
            </w:r>
            <w:proofErr w:type="spellStart"/>
            <w:proofErr w:type="gramStart"/>
            <w:r w:rsidRPr="00347968">
              <w:rPr>
                <w:sz w:val="24"/>
                <w:szCs w:val="24"/>
              </w:rPr>
              <w:t>плане-графиках</w:t>
            </w:r>
            <w:proofErr w:type="spellEnd"/>
            <w:proofErr w:type="gramEnd"/>
            <w:r w:rsidRPr="00347968">
              <w:rPr>
                <w:sz w:val="24"/>
                <w:szCs w:val="24"/>
              </w:rPr>
              <w:t xml:space="preserve"> закупок на 2023 год суммы, предусмотренной на осуществление закупок не в соответствии с План</w:t>
            </w:r>
            <w:r>
              <w:rPr>
                <w:sz w:val="24"/>
                <w:szCs w:val="24"/>
              </w:rPr>
              <w:t>о</w:t>
            </w:r>
            <w:r w:rsidRPr="00347968">
              <w:rPr>
                <w:sz w:val="24"/>
                <w:szCs w:val="24"/>
              </w:rPr>
              <w:t>м ФХД 2023</w:t>
            </w:r>
          </w:p>
        </w:tc>
        <w:tc>
          <w:tcPr>
            <w:tcW w:w="1418" w:type="dxa"/>
            <w:vAlign w:val="center"/>
          </w:tcPr>
          <w:p w:rsidR="005E085E" w:rsidRPr="00347968" w:rsidRDefault="005E085E" w:rsidP="0048356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4796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E085E" w:rsidRPr="001F216F" w:rsidRDefault="005E085E" w:rsidP="0048356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E085E" w:rsidRPr="001F216F" w:rsidTr="0048356C">
        <w:trPr>
          <w:cantSplit/>
          <w:trHeight w:val="2112"/>
        </w:trPr>
        <w:tc>
          <w:tcPr>
            <w:tcW w:w="425" w:type="dxa"/>
            <w:vAlign w:val="center"/>
          </w:tcPr>
          <w:p w:rsidR="005E085E" w:rsidRDefault="005E085E" w:rsidP="0048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vAlign w:val="center"/>
          </w:tcPr>
          <w:p w:rsidR="005E085E" w:rsidRPr="00347968" w:rsidRDefault="005E085E" w:rsidP="0048356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13.1 статьи 34 № 44-ФЗ, условия контракта</w:t>
            </w:r>
          </w:p>
        </w:tc>
        <w:tc>
          <w:tcPr>
            <w:tcW w:w="4252" w:type="dxa"/>
            <w:vAlign w:val="center"/>
          </w:tcPr>
          <w:p w:rsidR="005E085E" w:rsidRPr="00347968" w:rsidRDefault="005E085E" w:rsidP="0048356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порядка оплаты оказанных услуг</w:t>
            </w:r>
          </w:p>
        </w:tc>
        <w:tc>
          <w:tcPr>
            <w:tcW w:w="1418" w:type="dxa"/>
            <w:vAlign w:val="center"/>
          </w:tcPr>
          <w:p w:rsidR="005E085E" w:rsidRPr="00347968" w:rsidRDefault="005E085E" w:rsidP="0048356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E085E" w:rsidRDefault="005E085E" w:rsidP="0048356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</w:p>
          <w:p w:rsidR="005E085E" w:rsidRPr="001F216F" w:rsidRDefault="005E085E" w:rsidP="0048356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статьи 7.32.5</w:t>
            </w:r>
          </w:p>
        </w:tc>
      </w:tr>
    </w:tbl>
    <w:p w:rsidR="009132FE" w:rsidRPr="00D876B2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  <w:highlight w:val="yellow"/>
        </w:rPr>
      </w:pPr>
    </w:p>
    <w:p w:rsidR="00FA6F97" w:rsidRDefault="00155DFF" w:rsidP="009132FE">
      <w:pPr>
        <w:rPr>
          <w:sz w:val="24"/>
          <w:szCs w:val="24"/>
        </w:rPr>
      </w:pPr>
      <w:r w:rsidRPr="00910E90">
        <w:rPr>
          <w:b/>
          <w:bCs/>
          <w:sz w:val="24"/>
          <w:szCs w:val="24"/>
        </w:rPr>
        <w:t>8</w:t>
      </w:r>
      <w:r w:rsidR="009132FE" w:rsidRPr="00910E90">
        <w:rPr>
          <w:sz w:val="24"/>
          <w:szCs w:val="24"/>
        </w:rPr>
        <w:t xml:space="preserve">. </w:t>
      </w:r>
      <w:r w:rsidR="009132FE" w:rsidRPr="00910E90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6B7297" w:rsidRPr="006B7297">
        <w:rPr>
          <w:sz w:val="24"/>
          <w:szCs w:val="24"/>
        </w:rPr>
        <w:t>МБОУ «СОШ № 2 г. Рузы»</w:t>
      </w:r>
      <w:r w:rsidR="007C2395" w:rsidRPr="00910E90">
        <w:rPr>
          <w:sz w:val="24"/>
          <w:szCs w:val="24"/>
        </w:rPr>
        <w:t xml:space="preserve"> 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5E085E" w:rsidP="00FA6F97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A6F97" w:rsidRPr="00FA6F9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="005E085E">
        <w:rPr>
          <w:sz w:val="24"/>
          <w:szCs w:val="24"/>
        </w:rPr>
        <w:t xml:space="preserve">Е.А. </w:t>
      </w:r>
      <w:proofErr w:type="spellStart"/>
      <w:r w:rsidR="005E085E">
        <w:rPr>
          <w:sz w:val="24"/>
          <w:szCs w:val="24"/>
        </w:rPr>
        <w:t>Лущихина</w:t>
      </w:r>
      <w:proofErr w:type="spellEnd"/>
    </w:p>
    <w:p w:rsidR="00D95E3F" w:rsidRDefault="00D95E3F" w:rsidP="00FA6F97">
      <w:pPr>
        <w:rPr>
          <w:sz w:val="24"/>
          <w:szCs w:val="24"/>
        </w:rPr>
      </w:pPr>
    </w:p>
    <w:p w:rsidR="00D95E3F" w:rsidRDefault="00D95E3F" w:rsidP="00FA6F97">
      <w:pPr>
        <w:rPr>
          <w:sz w:val="24"/>
          <w:szCs w:val="24"/>
        </w:rPr>
      </w:pPr>
    </w:p>
    <w:p w:rsidR="00D95E3F" w:rsidRDefault="00D95E3F" w:rsidP="00FA6F97">
      <w:pPr>
        <w:rPr>
          <w:sz w:val="24"/>
          <w:szCs w:val="24"/>
        </w:rPr>
      </w:pPr>
    </w:p>
    <w:p w:rsidR="00D95E3F" w:rsidRDefault="00D95E3F" w:rsidP="00FA6F97">
      <w:pPr>
        <w:rPr>
          <w:sz w:val="24"/>
          <w:szCs w:val="24"/>
        </w:rPr>
      </w:pPr>
    </w:p>
    <w:p w:rsidR="00D95E3F" w:rsidRPr="00E43381" w:rsidRDefault="00D95E3F" w:rsidP="00D95E3F">
      <w:pPr>
        <w:outlineLvl w:val="0"/>
        <w:rPr>
          <w:sz w:val="20"/>
        </w:rPr>
      </w:pPr>
      <w:r w:rsidRPr="00E43381">
        <w:rPr>
          <w:sz w:val="20"/>
        </w:rPr>
        <w:t>Трофимова Евгения Анатольевна,</w:t>
      </w:r>
    </w:p>
    <w:p w:rsidR="00D95E3F" w:rsidRPr="00E43381" w:rsidRDefault="00D95E3F" w:rsidP="00D95E3F">
      <w:pPr>
        <w:rPr>
          <w:sz w:val="20"/>
        </w:rPr>
      </w:pPr>
      <w:r w:rsidRPr="00E43381">
        <w:rPr>
          <w:sz w:val="20"/>
        </w:rPr>
        <w:t xml:space="preserve">Зам. начальника отдела муниципального </w:t>
      </w:r>
    </w:p>
    <w:p w:rsidR="00D95E3F" w:rsidRPr="00E43381" w:rsidRDefault="00D95E3F" w:rsidP="00D95E3F">
      <w:pPr>
        <w:rPr>
          <w:sz w:val="20"/>
        </w:rPr>
      </w:pPr>
      <w:r w:rsidRPr="00E43381">
        <w:rPr>
          <w:sz w:val="20"/>
        </w:rPr>
        <w:t>финансового контроля,</w:t>
      </w:r>
    </w:p>
    <w:p w:rsidR="00D95E3F" w:rsidRPr="00E43381" w:rsidRDefault="00D95E3F" w:rsidP="00D95E3F">
      <w:pPr>
        <w:outlineLvl w:val="0"/>
        <w:rPr>
          <w:sz w:val="20"/>
        </w:rPr>
      </w:pPr>
      <w:r w:rsidRPr="00E43381">
        <w:rPr>
          <w:sz w:val="20"/>
        </w:rPr>
        <w:t xml:space="preserve">8 (496-27) 23-041 </w:t>
      </w:r>
    </w:p>
    <w:p w:rsidR="00D95E3F" w:rsidRPr="00FA6F97" w:rsidRDefault="00D95E3F" w:rsidP="00FA6F97">
      <w:pPr>
        <w:rPr>
          <w:sz w:val="24"/>
          <w:szCs w:val="24"/>
        </w:rPr>
      </w:pP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983D51" w:rsidRDefault="00983D51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sectPr w:rsidR="00263EB6" w:rsidSect="00C659B7">
      <w:headerReference w:type="default" r:id="rId7"/>
      <w:pgSz w:w="11906" w:h="16838"/>
      <w:pgMar w:top="1134" w:right="567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D3" w:rsidRDefault="00A950D3" w:rsidP="00356F9F">
      <w:pPr>
        <w:spacing w:line="240" w:lineRule="auto"/>
      </w:pPr>
      <w:r>
        <w:separator/>
      </w:r>
    </w:p>
  </w:endnote>
  <w:endnote w:type="continuationSeparator" w:id="0">
    <w:p w:rsidR="00A950D3" w:rsidRDefault="00A950D3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D3" w:rsidRDefault="00A950D3" w:rsidP="00356F9F">
      <w:pPr>
        <w:spacing w:line="240" w:lineRule="auto"/>
      </w:pPr>
      <w:r>
        <w:separator/>
      </w:r>
    </w:p>
  </w:footnote>
  <w:footnote w:type="continuationSeparator" w:id="0">
    <w:p w:rsidR="00A950D3" w:rsidRDefault="00A950D3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A950D3" w:rsidRDefault="003737C4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A950D3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D95E3F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05071"/>
    <w:rsid w:val="00126978"/>
    <w:rsid w:val="00155DFF"/>
    <w:rsid w:val="00165E83"/>
    <w:rsid w:val="00263EB6"/>
    <w:rsid w:val="00284EC2"/>
    <w:rsid w:val="002B604D"/>
    <w:rsid w:val="00302FF3"/>
    <w:rsid w:val="0034232B"/>
    <w:rsid w:val="00351DD3"/>
    <w:rsid w:val="00356F9F"/>
    <w:rsid w:val="003737C4"/>
    <w:rsid w:val="00410B0D"/>
    <w:rsid w:val="004734CC"/>
    <w:rsid w:val="004D37FB"/>
    <w:rsid w:val="00520C50"/>
    <w:rsid w:val="0054790F"/>
    <w:rsid w:val="005C0D6E"/>
    <w:rsid w:val="005E085E"/>
    <w:rsid w:val="006256CA"/>
    <w:rsid w:val="006277DE"/>
    <w:rsid w:val="00634C4A"/>
    <w:rsid w:val="006634BC"/>
    <w:rsid w:val="0068281E"/>
    <w:rsid w:val="006B7297"/>
    <w:rsid w:val="00780943"/>
    <w:rsid w:val="00785570"/>
    <w:rsid w:val="007C2395"/>
    <w:rsid w:val="007E05E0"/>
    <w:rsid w:val="00866455"/>
    <w:rsid w:val="00910E90"/>
    <w:rsid w:val="009132FE"/>
    <w:rsid w:val="00943DFF"/>
    <w:rsid w:val="00983D51"/>
    <w:rsid w:val="00A13585"/>
    <w:rsid w:val="00A448F7"/>
    <w:rsid w:val="00A65F51"/>
    <w:rsid w:val="00A950D3"/>
    <w:rsid w:val="00AA0F6D"/>
    <w:rsid w:val="00AA1441"/>
    <w:rsid w:val="00AD1936"/>
    <w:rsid w:val="00AD2043"/>
    <w:rsid w:val="00BA1564"/>
    <w:rsid w:val="00BC114B"/>
    <w:rsid w:val="00C4117F"/>
    <w:rsid w:val="00C612DD"/>
    <w:rsid w:val="00C635FC"/>
    <w:rsid w:val="00C659B7"/>
    <w:rsid w:val="00CB44BA"/>
    <w:rsid w:val="00D00994"/>
    <w:rsid w:val="00D876B2"/>
    <w:rsid w:val="00D95E3F"/>
    <w:rsid w:val="00E01DAC"/>
    <w:rsid w:val="00E263B8"/>
    <w:rsid w:val="00E95E19"/>
    <w:rsid w:val="00ED2A56"/>
    <w:rsid w:val="00EF02D4"/>
    <w:rsid w:val="00F211F5"/>
    <w:rsid w:val="00F40BAF"/>
    <w:rsid w:val="00F76979"/>
    <w:rsid w:val="00FA0D3A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45</cp:revision>
  <dcterms:created xsi:type="dcterms:W3CDTF">2019-05-24T06:36:00Z</dcterms:created>
  <dcterms:modified xsi:type="dcterms:W3CDTF">2023-10-10T12:11:00Z</dcterms:modified>
</cp:coreProperties>
</file>