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8FF01">
      <w:pPr>
        <w:spacing w:after="0"/>
        <w:jc w:val="center"/>
        <w:rPr>
          <w:rFonts w:ascii="Times New Roman" w:hAnsi="Times New Roman" w:cs="Times New Roman"/>
          <w:sz w:val="24"/>
          <w:szCs w:val="24"/>
        </w:rPr>
      </w:pPr>
      <w:r>
        <w:rPr>
          <w:rFonts w:ascii="Times New Roman" w:hAnsi="Times New Roman" w:cs="Times New Roman"/>
          <w:sz w:val="24"/>
          <w:szCs w:val="24"/>
        </w:rPr>
        <w:t>РЕШЕНИЕ</w:t>
      </w:r>
    </w:p>
    <w:p w14:paraId="102648BE">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(ПРОЕКТ) </w:t>
      </w:r>
    </w:p>
    <w:p w14:paraId="4E32089E">
      <w:pPr>
        <w:spacing w:after="0"/>
        <w:jc w:val="center"/>
        <w:rPr>
          <w:rFonts w:ascii="Times New Roman" w:hAnsi="Times New Roman" w:cs="Times New Roman"/>
          <w:sz w:val="24"/>
          <w:szCs w:val="24"/>
        </w:rPr>
      </w:pPr>
    </w:p>
    <w:p w14:paraId="62EB8EC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w:t>
      </w:r>
      <w:bookmarkStart w:id="0" w:name="_Hlk190267606"/>
      <w:r>
        <w:rPr>
          <w:rFonts w:ascii="Times New Roman" w:hAnsi="Times New Roman" w:cs="Times New Roman"/>
          <w:b/>
          <w:sz w:val="28"/>
          <w:szCs w:val="28"/>
        </w:rPr>
        <w:t>Положении о бюджетном процессе в Рузском муниципальном округе Московской области</w:t>
      </w:r>
      <w:bookmarkEnd w:id="0"/>
    </w:p>
    <w:p w14:paraId="7399CA7C">
      <w:pPr>
        <w:spacing w:after="0"/>
        <w:jc w:val="center"/>
        <w:rPr>
          <w:rFonts w:ascii="Times New Roman" w:hAnsi="Times New Roman" w:cs="Times New Roman"/>
          <w:sz w:val="28"/>
          <w:szCs w:val="28"/>
        </w:rPr>
      </w:pPr>
    </w:p>
    <w:p w14:paraId="0564E2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Бюджетным кодексом Российской Федерации, руководствуясь Уставом Рузского муниципального округа Московской области, Совет депутатов Рузского муниципального округа Московской области решил:</w:t>
      </w:r>
    </w:p>
    <w:p w14:paraId="1FCAC1E4">
      <w:pPr>
        <w:spacing w:after="0" w:line="240" w:lineRule="auto"/>
        <w:ind w:firstLine="567"/>
        <w:jc w:val="both"/>
        <w:rPr>
          <w:rFonts w:ascii="Times New Roman" w:hAnsi="Times New Roman" w:cs="Times New Roman"/>
          <w:sz w:val="28"/>
          <w:szCs w:val="28"/>
        </w:rPr>
      </w:pPr>
    </w:p>
    <w:p w14:paraId="0C9C83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Утвердить Положение о бюджетном процессе в Рузском муниципальном округе Московской области согласно приложению к настоящему решению.</w:t>
      </w:r>
    </w:p>
    <w:p w14:paraId="63D7A8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следующие решения Совета депутатов Рузского городского округа Московской области:</w:t>
      </w:r>
    </w:p>
    <w:p w14:paraId="4DEB59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от 26.02.2020 № 450/48 «О принятии Положения о бюджетном процессе в Рузском городском округе Московской области»;</w:t>
      </w:r>
    </w:p>
    <w:p w14:paraId="236C92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t> </w:t>
      </w:r>
      <w:r>
        <w:rPr>
          <w:rFonts w:ascii="Times New Roman" w:hAnsi="Times New Roman" w:cs="Times New Roman"/>
          <w:sz w:val="28"/>
          <w:szCs w:val="28"/>
        </w:rPr>
        <w:t>от 23.12.2020 № 518/60 «О внесении изменений в Положение о бюджетном процессе в Рузском городском округе Московской области, принятое решением Совета депутатов Рузского городского округа Московской области от 26.02.2020 № 450/48»;</w:t>
      </w:r>
    </w:p>
    <w:p w14:paraId="33509A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от 24.05.2023 № 72/13 «О внесении изменений в Положение о бюджетном процессе в Рузском городском округе Московской области, принятое решением Совета депутатов Рузского городского округа Московской области от 26.02.2020 № 450/48»;</w:t>
      </w:r>
    </w:p>
    <w:p w14:paraId="1E0C75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 от 27.03.2024 № 174/25 «О внесении изменений в Положение о бюджетном процессе в Рузском городском округе Московской области, принятое решением Совета депутатов Рузского городского округа Московской области от 26.02.2020 № 450/48».</w:t>
      </w:r>
    </w:p>
    <w:p w14:paraId="5FE1D0A6">
      <w:pPr>
        <w:spacing w:after="0" w:line="240" w:lineRule="auto"/>
        <w:ind w:firstLine="709"/>
        <w:jc w:val="both"/>
        <w:rPr>
          <w:rFonts w:ascii="Times New Roman" w:hAnsi="Times New Roman" w:cs="Times New Roman"/>
          <w:sz w:val="28"/>
          <w:szCs w:val="28"/>
        </w:rPr>
      </w:pPr>
    </w:p>
    <w:p w14:paraId="4E42E3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 в сетевом издании - официальном сайте Рузского городского округа Московской области в информационно-коммуникационной сети «Интернет»: RUZAREGION.RU.</w:t>
      </w:r>
    </w:p>
    <w:p w14:paraId="0F01A798">
      <w:pPr>
        <w:spacing w:after="0" w:line="240" w:lineRule="auto"/>
        <w:ind w:firstLine="567"/>
        <w:jc w:val="both"/>
        <w:rPr>
          <w:rFonts w:ascii="Times New Roman" w:hAnsi="Times New Roman" w:cs="Times New Roman"/>
          <w:sz w:val="28"/>
          <w:szCs w:val="28"/>
        </w:rPr>
      </w:pPr>
    </w:p>
    <w:p w14:paraId="3C6893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после его официального опубликования.</w:t>
      </w:r>
    </w:p>
    <w:p w14:paraId="0C33AC3D">
      <w:pPr>
        <w:spacing w:after="0" w:line="240" w:lineRule="auto"/>
        <w:jc w:val="both"/>
        <w:rPr>
          <w:rFonts w:ascii="Times New Roman" w:hAnsi="Times New Roman" w:cs="Times New Roman"/>
          <w:color w:val="000000" w:themeColor="text1"/>
          <w:sz w:val="24"/>
          <w:szCs w:val="24"/>
        </w:rPr>
      </w:pPr>
    </w:p>
    <w:p w14:paraId="4D45319B">
      <w:pPr>
        <w:spacing w:after="0" w:line="240" w:lineRule="auto"/>
        <w:jc w:val="both"/>
        <w:rPr>
          <w:rFonts w:ascii="Times New Roman" w:hAnsi="Times New Roman" w:cs="Times New Roman"/>
          <w:color w:val="000000" w:themeColor="text1"/>
          <w:sz w:val="24"/>
          <w:szCs w:val="24"/>
        </w:rPr>
      </w:pPr>
    </w:p>
    <w:tbl>
      <w:tblPr>
        <w:tblStyle w:val="3"/>
        <w:tblW w:w="0" w:type="auto"/>
        <w:tblInd w:w="0" w:type="dxa"/>
        <w:tblLayout w:type="autofit"/>
        <w:tblCellMar>
          <w:top w:w="0" w:type="dxa"/>
          <w:left w:w="108" w:type="dxa"/>
          <w:bottom w:w="0" w:type="dxa"/>
          <w:right w:w="108" w:type="dxa"/>
        </w:tblCellMar>
      </w:tblPr>
      <w:tblGrid>
        <w:gridCol w:w="5068"/>
        <w:gridCol w:w="5069"/>
      </w:tblGrid>
      <w:tr w14:paraId="109712AE">
        <w:tblPrEx>
          <w:tblCellMar>
            <w:top w:w="0" w:type="dxa"/>
            <w:left w:w="108" w:type="dxa"/>
            <w:bottom w:w="0" w:type="dxa"/>
            <w:right w:w="108" w:type="dxa"/>
          </w:tblCellMar>
        </w:tblPrEx>
        <w:tc>
          <w:tcPr>
            <w:tcW w:w="5069" w:type="dxa"/>
            <w:shd w:val="clear" w:color="auto" w:fill="auto"/>
          </w:tcPr>
          <w:p w14:paraId="7272C90C">
            <w:pPr>
              <w:widowControl w:val="0"/>
              <w:spacing w:after="0" w:line="240" w:lineRule="auto"/>
              <w:jc w:val="both"/>
              <w:rPr>
                <w:rFonts w:ascii="Times New Roman" w:hAnsi="Times New Roman" w:eastAsia="Courier New" w:cs="Times New Roman"/>
                <w:color w:val="000000" w:themeColor="text1"/>
                <w:sz w:val="26"/>
                <w:szCs w:val="26"/>
                <w:lang w:eastAsia="ru-RU"/>
              </w:rPr>
            </w:pPr>
            <w:r>
              <w:rPr>
                <w:rFonts w:ascii="Times New Roman" w:hAnsi="Times New Roman" w:eastAsia="Courier New" w:cs="Times New Roman"/>
                <w:color w:val="000000" w:themeColor="text1"/>
                <w:sz w:val="26"/>
                <w:szCs w:val="26"/>
                <w:lang w:eastAsia="ru-RU"/>
              </w:rPr>
              <w:t xml:space="preserve">Глава Рузского </w:t>
            </w:r>
          </w:p>
          <w:p w14:paraId="056C67D9">
            <w:pPr>
              <w:widowControl w:val="0"/>
              <w:spacing w:after="0" w:line="240" w:lineRule="auto"/>
              <w:jc w:val="both"/>
              <w:rPr>
                <w:rFonts w:ascii="Times New Roman" w:hAnsi="Times New Roman" w:eastAsia="Courier New" w:cs="Times New Roman"/>
                <w:color w:val="000000" w:themeColor="text1"/>
                <w:sz w:val="26"/>
                <w:szCs w:val="26"/>
                <w:lang w:eastAsia="ru-RU"/>
              </w:rPr>
            </w:pPr>
            <w:r>
              <w:rPr>
                <w:rFonts w:ascii="Times New Roman" w:hAnsi="Times New Roman" w:eastAsia="Courier New" w:cs="Times New Roman"/>
                <w:color w:val="000000" w:themeColor="text1"/>
                <w:sz w:val="26"/>
                <w:szCs w:val="26"/>
                <w:lang w:eastAsia="ru-RU"/>
              </w:rPr>
              <w:t xml:space="preserve">муниципального округа </w:t>
            </w:r>
          </w:p>
          <w:p w14:paraId="5E532975">
            <w:pPr>
              <w:widowControl w:val="0"/>
              <w:spacing w:after="0" w:line="240" w:lineRule="auto"/>
              <w:jc w:val="both"/>
              <w:rPr>
                <w:rFonts w:ascii="Times New Roman" w:hAnsi="Times New Roman" w:eastAsia="Courier New" w:cs="Times New Roman"/>
                <w:color w:val="000000" w:themeColor="text1"/>
                <w:sz w:val="26"/>
                <w:szCs w:val="26"/>
                <w:lang w:eastAsia="ru-RU"/>
              </w:rPr>
            </w:pPr>
            <w:r>
              <w:rPr>
                <w:rFonts w:ascii="Times New Roman" w:hAnsi="Times New Roman" w:eastAsia="Courier New" w:cs="Times New Roman"/>
                <w:color w:val="000000" w:themeColor="text1"/>
                <w:sz w:val="26"/>
                <w:szCs w:val="26"/>
                <w:lang w:eastAsia="ru-RU"/>
              </w:rPr>
              <w:t xml:space="preserve">Московской области  </w:t>
            </w:r>
          </w:p>
          <w:p w14:paraId="5042AAA9">
            <w:pPr>
              <w:widowControl w:val="0"/>
              <w:spacing w:after="0" w:line="240" w:lineRule="auto"/>
              <w:jc w:val="both"/>
              <w:rPr>
                <w:rFonts w:ascii="Times New Roman" w:hAnsi="Times New Roman" w:eastAsia="Courier New" w:cs="Times New Roman"/>
                <w:color w:val="000000" w:themeColor="text1"/>
                <w:sz w:val="26"/>
                <w:szCs w:val="26"/>
                <w:lang w:eastAsia="ru-RU"/>
              </w:rPr>
            </w:pPr>
          </w:p>
          <w:p w14:paraId="53739A7B">
            <w:pPr>
              <w:widowControl w:val="0"/>
              <w:spacing w:after="0" w:line="240" w:lineRule="auto"/>
              <w:jc w:val="both"/>
              <w:rPr>
                <w:rFonts w:ascii="Times New Roman" w:hAnsi="Times New Roman" w:eastAsia="Courier New" w:cs="Times New Roman"/>
                <w:color w:val="000000" w:themeColor="text1"/>
                <w:sz w:val="26"/>
                <w:szCs w:val="26"/>
                <w:lang w:eastAsia="ru-RU"/>
              </w:rPr>
            </w:pPr>
          </w:p>
          <w:p w14:paraId="29569EE4">
            <w:pPr>
              <w:tabs>
                <w:tab w:val="left" w:pos="7332"/>
              </w:tabs>
              <w:jc w:val="both"/>
              <w:rPr>
                <w:rFonts w:ascii="Times New Roman" w:hAnsi="Times New Roman" w:eastAsia="Courier New" w:cs="Times New Roman"/>
                <w:color w:val="000000" w:themeColor="text1"/>
                <w:sz w:val="26"/>
                <w:szCs w:val="26"/>
                <w:lang w:eastAsia="ru-RU"/>
              </w:rPr>
            </w:pPr>
            <w:r>
              <w:rPr>
                <w:rFonts w:ascii="Times New Roman" w:hAnsi="Times New Roman" w:eastAsia="Courier New" w:cs="Times New Roman"/>
                <w:color w:val="000000" w:themeColor="text1"/>
                <w:sz w:val="26"/>
                <w:szCs w:val="26"/>
                <w:lang w:eastAsia="ru-RU"/>
              </w:rPr>
              <w:t xml:space="preserve">______________ </w:t>
            </w:r>
            <w:r>
              <w:rPr>
                <w:rFonts w:ascii="Times New Roman" w:hAnsi="Times New Roman" w:cs="Times New Roman"/>
                <w:sz w:val="28"/>
                <w:szCs w:val="28"/>
              </w:rPr>
              <w:t>А.А. Горбылёв</w:t>
            </w:r>
          </w:p>
          <w:p w14:paraId="60ED4ED0">
            <w:pPr>
              <w:widowControl w:val="0"/>
              <w:spacing w:after="0" w:line="240" w:lineRule="auto"/>
              <w:jc w:val="both"/>
              <w:rPr>
                <w:rFonts w:ascii="Times New Roman" w:hAnsi="Times New Roman" w:eastAsia="Courier New" w:cs="Times New Roman"/>
                <w:color w:val="000000" w:themeColor="text1"/>
                <w:sz w:val="26"/>
                <w:szCs w:val="26"/>
                <w:lang w:eastAsia="ru-RU"/>
              </w:rPr>
            </w:pPr>
            <w:r>
              <w:rPr>
                <w:rFonts w:ascii="Times New Roman" w:hAnsi="Times New Roman" w:eastAsia="Courier New" w:cs="Times New Roman"/>
                <w:color w:val="000000" w:themeColor="text1"/>
                <w:sz w:val="26"/>
                <w:szCs w:val="26"/>
                <w:lang w:eastAsia="ru-RU"/>
              </w:rPr>
              <w:t xml:space="preserve">                                                  </w:t>
            </w:r>
          </w:p>
        </w:tc>
        <w:tc>
          <w:tcPr>
            <w:tcW w:w="5070" w:type="dxa"/>
            <w:shd w:val="clear" w:color="auto" w:fill="auto"/>
          </w:tcPr>
          <w:p w14:paraId="5DC784CD">
            <w:pPr>
              <w:widowControl w:val="0"/>
              <w:spacing w:after="0" w:line="240" w:lineRule="auto"/>
              <w:ind w:left="885"/>
              <w:jc w:val="both"/>
              <w:rPr>
                <w:rFonts w:ascii="Times New Roman" w:hAnsi="Times New Roman" w:eastAsia="Courier New" w:cs="Times New Roman"/>
                <w:color w:val="000000" w:themeColor="text1"/>
                <w:sz w:val="26"/>
                <w:szCs w:val="26"/>
                <w:lang w:eastAsia="ru-RU"/>
              </w:rPr>
            </w:pPr>
            <w:r>
              <w:rPr>
                <w:rFonts w:ascii="Times New Roman" w:hAnsi="Times New Roman" w:eastAsia="Courier New" w:cs="Times New Roman"/>
                <w:color w:val="000000" w:themeColor="text1"/>
                <w:sz w:val="26"/>
                <w:szCs w:val="26"/>
                <w:lang w:eastAsia="ru-RU"/>
              </w:rPr>
              <w:t>Председатель Совета депутатов</w:t>
            </w:r>
          </w:p>
          <w:p w14:paraId="7CC8DE87">
            <w:pPr>
              <w:widowControl w:val="0"/>
              <w:spacing w:after="0" w:line="240" w:lineRule="auto"/>
              <w:ind w:left="885"/>
              <w:jc w:val="both"/>
              <w:rPr>
                <w:rFonts w:ascii="Times New Roman" w:hAnsi="Times New Roman" w:eastAsia="Courier New" w:cs="Times New Roman"/>
                <w:color w:val="000000" w:themeColor="text1"/>
                <w:sz w:val="26"/>
                <w:szCs w:val="26"/>
                <w:lang w:eastAsia="ru-RU"/>
              </w:rPr>
            </w:pPr>
            <w:r>
              <w:rPr>
                <w:rFonts w:ascii="Times New Roman" w:hAnsi="Times New Roman" w:eastAsia="Courier New" w:cs="Times New Roman"/>
                <w:color w:val="000000" w:themeColor="text1"/>
                <w:sz w:val="26"/>
                <w:szCs w:val="26"/>
                <w:lang w:eastAsia="ru-RU"/>
              </w:rPr>
              <w:t>Рузского муниципального округа</w:t>
            </w:r>
          </w:p>
          <w:p w14:paraId="32CA57D9">
            <w:pPr>
              <w:widowControl w:val="0"/>
              <w:spacing w:after="0" w:line="240" w:lineRule="auto"/>
              <w:ind w:left="885"/>
              <w:jc w:val="both"/>
              <w:rPr>
                <w:rFonts w:ascii="Times New Roman" w:hAnsi="Times New Roman" w:eastAsia="Courier New" w:cs="Times New Roman"/>
                <w:color w:val="000000" w:themeColor="text1"/>
                <w:sz w:val="26"/>
                <w:szCs w:val="26"/>
                <w:lang w:eastAsia="ru-RU"/>
              </w:rPr>
            </w:pPr>
            <w:r>
              <w:rPr>
                <w:rFonts w:ascii="Times New Roman" w:hAnsi="Times New Roman" w:eastAsia="Courier New" w:cs="Times New Roman"/>
                <w:color w:val="000000" w:themeColor="text1"/>
                <w:sz w:val="26"/>
                <w:szCs w:val="26"/>
                <w:lang w:eastAsia="ru-RU"/>
              </w:rPr>
              <w:t>Московской области</w:t>
            </w:r>
          </w:p>
          <w:p w14:paraId="646E43E1">
            <w:pPr>
              <w:widowControl w:val="0"/>
              <w:spacing w:after="0" w:line="240" w:lineRule="auto"/>
              <w:ind w:left="885"/>
              <w:jc w:val="both"/>
              <w:rPr>
                <w:rFonts w:ascii="Times New Roman" w:hAnsi="Times New Roman" w:eastAsia="Courier New" w:cs="Times New Roman"/>
                <w:color w:val="000000" w:themeColor="text1"/>
                <w:sz w:val="26"/>
                <w:szCs w:val="26"/>
                <w:lang w:eastAsia="ru-RU"/>
              </w:rPr>
            </w:pPr>
          </w:p>
          <w:p w14:paraId="3E578768">
            <w:pPr>
              <w:widowControl w:val="0"/>
              <w:spacing w:after="0" w:line="240" w:lineRule="auto"/>
              <w:ind w:left="885"/>
              <w:jc w:val="both"/>
              <w:rPr>
                <w:rFonts w:ascii="Times New Roman" w:hAnsi="Times New Roman" w:eastAsia="Courier New" w:cs="Times New Roman"/>
                <w:color w:val="000000" w:themeColor="text1"/>
                <w:sz w:val="26"/>
                <w:szCs w:val="26"/>
                <w:lang w:eastAsia="ru-RU"/>
              </w:rPr>
            </w:pPr>
          </w:p>
          <w:p w14:paraId="35C0A1FA">
            <w:pPr>
              <w:widowControl w:val="0"/>
              <w:spacing w:after="0" w:line="240" w:lineRule="auto"/>
              <w:ind w:left="885"/>
              <w:jc w:val="both"/>
              <w:rPr>
                <w:rFonts w:ascii="Times New Roman" w:hAnsi="Times New Roman" w:eastAsia="Courier New" w:cs="Times New Roman"/>
                <w:color w:val="000000" w:themeColor="text1"/>
                <w:sz w:val="26"/>
                <w:szCs w:val="26"/>
                <w:lang w:eastAsia="ru-RU"/>
              </w:rPr>
            </w:pPr>
            <w:r>
              <w:rPr>
                <w:rFonts w:ascii="Times New Roman" w:hAnsi="Times New Roman" w:eastAsia="Courier New" w:cs="Times New Roman"/>
                <w:color w:val="000000" w:themeColor="text1"/>
                <w:sz w:val="26"/>
                <w:szCs w:val="26"/>
                <w:lang w:eastAsia="ru-RU"/>
              </w:rPr>
              <w:t>_________________И.А. Вереина</w:t>
            </w:r>
          </w:p>
        </w:tc>
      </w:tr>
    </w:tbl>
    <w:p w14:paraId="349F6082">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Принято</w:t>
      </w:r>
    </w:p>
    <w:p w14:paraId="4D65E661">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решением Совета депутатов</w:t>
      </w:r>
    </w:p>
    <w:p w14:paraId="0EC77D0F">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Рузского муниципального округа</w:t>
      </w:r>
    </w:p>
    <w:p w14:paraId="0C415292">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Московской области</w:t>
      </w:r>
    </w:p>
    <w:p w14:paraId="363B0DDB">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____________ г. №________</w:t>
      </w:r>
    </w:p>
    <w:p w14:paraId="598368A9">
      <w:pPr>
        <w:spacing w:after="0" w:line="240" w:lineRule="auto"/>
        <w:jc w:val="both"/>
        <w:rPr>
          <w:rFonts w:ascii="Times New Roman" w:hAnsi="Times New Roman" w:cs="Times New Roman"/>
          <w:color w:val="000000" w:themeColor="text1"/>
          <w:sz w:val="28"/>
          <w:szCs w:val="28"/>
        </w:rPr>
      </w:pPr>
    </w:p>
    <w:p w14:paraId="240E60F6">
      <w:pPr>
        <w:spacing w:after="0" w:line="240" w:lineRule="auto"/>
        <w:jc w:val="center"/>
        <w:rPr>
          <w:rFonts w:ascii="Times New Roman" w:hAnsi="Times New Roman" w:cs="Times New Roman"/>
          <w:color w:val="000000" w:themeColor="text1"/>
          <w:sz w:val="28"/>
          <w:szCs w:val="28"/>
        </w:rPr>
      </w:pPr>
    </w:p>
    <w:p w14:paraId="5DD18499">
      <w:pPr>
        <w:spacing w:after="0" w:line="240" w:lineRule="auto"/>
        <w:jc w:val="center"/>
        <w:rPr>
          <w:rFonts w:ascii="Times New Roman" w:hAnsi="Times New Roman" w:cs="Times New Roman"/>
          <w:color w:val="000000" w:themeColor="text1"/>
          <w:sz w:val="28"/>
          <w:szCs w:val="28"/>
        </w:rPr>
      </w:pPr>
    </w:p>
    <w:p w14:paraId="37D7F7AD">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Положение</w:t>
      </w:r>
    </w:p>
    <w:p w14:paraId="796C4508">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 бюджетном процессе в Рузском муниципальном округе</w:t>
      </w:r>
    </w:p>
    <w:p w14:paraId="7DC7D886">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Московской области</w:t>
      </w:r>
    </w:p>
    <w:p w14:paraId="7D42CD18">
      <w:pPr>
        <w:spacing w:after="0" w:line="240" w:lineRule="auto"/>
        <w:jc w:val="both"/>
        <w:rPr>
          <w:rFonts w:ascii="Times New Roman" w:hAnsi="Times New Roman" w:cs="Times New Roman"/>
          <w:color w:val="000000" w:themeColor="text1"/>
          <w:sz w:val="28"/>
          <w:szCs w:val="28"/>
        </w:rPr>
      </w:pPr>
    </w:p>
    <w:p w14:paraId="1AA2980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Настоящее Положение о бюджетном процессе в Рузском муниципальном округе Московской области (далее – Положение) регламентирует деятельность органов местного самоуправления Рузского муниципального округа Московской области и всех участников бюджетного процесса в Рузском муниципальном округе Московской области (далее - Рузский муниципальный округ) по составлению и рассмотрению проекта бюджета Рузского муниципального округа (далее - бюджет), утверждению и исполнению бюджета, контролю за его исполнением, осуществлению бюджетного учета, внешней проверки, составлению, рассмотрению и утверждению бюджетной отчетности.</w:t>
      </w:r>
    </w:p>
    <w:p w14:paraId="1E2226AB">
      <w:pPr>
        <w:spacing w:after="0" w:line="240" w:lineRule="auto"/>
        <w:jc w:val="both"/>
        <w:rPr>
          <w:rFonts w:ascii="Times New Roman" w:hAnsi="Times New Roman" w:cs="Times New Roman"/>
          <w:color w:val="000000" w:themeColor="text1"/>
          <w:sz w:val="28"/>
          <w:szCs w:val="28"/>
        </w:rPr>
      </w:pPr>
    </w:p>
    <w:p w14:paraId="24271D17">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Раздел I. ОБЩИЕ ПОЛОЖЕНИЯ</w:t>
      </w:r>
    </w:p>
    <w:p w14:paraId="163C29B6">
      <w:pPr>
        <w:spacing w:after="0" w:line="240" w:lineRule="auto"/>
        <w:jc w:val="both"/>
        <w:rPr>
          <w:rFonts w:ascii="Times New Roman" w:hAnsi="Times New Roman" w:cs="Times New Roman"/>
          <w:color w:val="000000" w:themeColor="text1"/>
          <w:sz w:val="28"/>
          <w:szCs w:val="28"/>
        </w:rPr>
      </w:pPr>
    </w:p>
    <w:p w14:paraId="6E0CD47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 Правовая основа бюджетного процесса в Рузском муниципальном округе</w:t>
      </w:r>
    </w:p>
    <w:p w14:paraId="38216AD1">
      <w:pPr>
        <w:spacing w:after="0" w:line="240" w:lineRule="auto"/>
        <w:jc w:val="both"/>
        <w:rPr>
          <w:rFonts w:ascii="Times New Roman" w:hAnsi="Times New Roman" w:cs="Times New Roman"/>
          <w:color w:val="000000" w:themeColor="text1"/>
          <w:sz w:val="28"/>
          <w:szCs w:val="28"/>
        </w:rPr>
      </w:pPr>
    </w:p>
    <w:p w14:paraId="67CF26C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Бюджетные правоотношения в Рузском муниципальном округе регулируются Бюджетным кодексом Российской Федерации, федеральными законами и иными нормативными правовыми актами Российской Федерации, нормативными правовыми актами Московской области, Уставом Рузского муниципального округа, настоящим Положением, иными нормативными правовыми актами Рузского муниципального округа.</w:t>
      </w:r>
    </w:p>
    <w:p w14:paraId="55B27FC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В случае противоречия между настоящим Положением и иными нормативными правовыми актами Рузского муниципального округа, регулирующими бюджетные правоотношения, применяется настоящее Положение.</w:t>
      </w:r>
    </w:p>
    <w:p w14:paraId="1EF85A87">
      <w:pPr>
        <w:spacing w:after="0" w:line="240" w:lineRule="auto"/>
        <w:jc w:val="both"/>
        <w:rPr>
          <w:rFonts w:ascii="Times New Roman" w:hAnsi="Times New Roman" w:cs="Times New Roman"/>
          <w:color w:val="000000" w:themeColor="text1"/>
          <w:sz w:val="28"/>
          <w:szCs w:val="28"/>
        </w:rPr>
      </w:pPr>
    </w:p>
    <w:p w14:paraId="52C8E97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2. Понятия и термины, применяемые в настоящем Положении</w:t>
      </w:r>
    </w:p>
    <w:p w14:paraId="4D5396F9">
      <w:pPr>
        <w:spacing w:after="0" w:line="240" w:lineRule="auto"/>
        <w:jc w:val="both"/>
        <w:rPr>
          <w:rFonts w:ascii="Times New Roman" w:hAnsi="Times New Roman" w:cs="Times New Roman"/>
          <w:color w:val="000000" w:themeColor="text1"/>
          <w:sz w:val="28"/>
          <w:szCs w:val="28"/>
        </w:rPr>
      </w:pPr>
    </w:p>
    <w:p w14:paraId="3657BBF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целях настоящего Положения применяются понятия и термины в значениях, определенных Бюджетным кодексом Российской Федерации и иными федеральными законами и законами Московской области, регулирующими бюджетные правоотношения.</w:t>
      </w:r>
    </w:p>
    <w:p w14:paraId="0C6A7C3B">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Словосочетания «местный бюджет», «бюджет муниципального образования», «бюджет муниципального округа», «бюджет Рузского муниципального округа Московской области», «бюджет Рузского муниципального округа» являются тождественными, то есть применяются в одном значении при осуществлении бюджетного процесса в Рузском муниципальном округе Московской области.</w:t>
      </w:r>
    </w:p>
    <w:p w14:paraId="595C4A2E">
      <w:pPr>
        <w:spacing w:after="0" w:line="240" w:lineRule="auto"/>
        <w:jc w:val="both"/>
        <w:rPr>
          <w:rFonts w:ascii="Times New Roman" w:hAnsi="Times New Roman" w:cs="Times New Roman"/>
          <w:color w:val="000000" w:themeColor="text1"/>
          <w:sz w:val="28"/>
          <w:szCs w:val="28"/>
        </w:rPr>
      </w:pPr>
    </w:p>
    <w:p w14:paraId="0DCF863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3. Основные этапы бюджетного процесса в Рузском муниципальном округе</w:t>
      </w:r>
    </w:p>
    <w:p w14:paraId="445EE51A">
      <w:pPr>
        <w:spacing w:after="0" w:line="240" w:lineRule="auto"/>
        <w:jc w:val="both"/>
        <w:rPr>
          <w:rFonts w:ascii="Times New Roman" w:hAnsi="Times New Roman" w:cs="Times New Roman"/>
          <w:color w:val="000000" w:themeColor="text1"/>
          <w:sz w:val="28"/>
          <w:szCs w:val="28"/>
        </w:rPr>
      </w:pPr>
    </w:p>
    <w:p w14:paraId="7DEA3CE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Бюджетный процесс в Рузском муниципальном округе включает следующие этапы:</w:t>
      </w:r>
    </w:p>
    <w:p w14:paraId="1D6C503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составление проекта бюджета;</w:t>
      </w:r>
    </w:p>
    <w:p w14:paraId="52F253C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рассмотрение проекта бюджета и его утверждение;</w:t>
      </w:r>
    </w:p>
    <w:p w14:paraId="380859B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исполнение бюджета;</w:t>
      </w:r>
    </w:p>
    <w:p w14:paraId="716CBDA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контроль за исполнением бюджета;</w:t>
      </w:r>
    </w:p>
    <w:p w14:paraId="698B745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составление, внешняя проверка, рассмотрение и утверждение отчета об исполнении бюджета;</w:t>
      </w:r>
    </w:p>
    <w:p w14:paraId="6C812D9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осуществление муниципального финансового контроля.</w:t>
      </w:r>
    </w:p>
    <w:p w14:paraId="0D3DAFD7">
      <w:pPr>
        <w:spacing w:after="0" w:line="240" w:lineRule="auto"/>
        <w:jc w:val="both"/>
        <w:rPr>
          <w:rFonts w:ascii="Times New Roman" w:hAnsi="Times New Roman" w:cs="Times New Roman"/>
          <w:color w:val="000000" w:themeColor="text1"/>
          <w:sz w:val="28"/>
          <w:szCs w:val="28"/>
        </w:rPr>
      </w:pPr>
    </w:p>
    <w:p w14:paraId="27DC5D6D">
      <w:pPr>
        <w:spacing w:after="0" w:line="240" w:lineRule="auto"/>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Статья 4. Участники бюджетного процесса в Рузском муниципальном округе</w:t>
      </w:r>
    </w:p>
    <w:p w14:paraId="5D25F238">
      <w:pPr>
        <w:spacing w:after="0" w:line="240" w:lineRule="auto"/>
        <w:jc w:val="both"/>
        <w:rPr>
          <w:rFonts w:ascii="Times New Roman" w:hAnsi="Times New Roman" w:cs="Times New Roman"/>
          <w:color w:val="000000" w:themeColor="text1"/>
          <w:sz w:val="28"/>
          <w:szCs w:val="28"/>
          <w:highlight w:val="none"/>
        </w:rPr>
      </w:pPr>
    </w:p>
    <w:p w14:paraId="1C07D3A0">
      <w:pPr>
        <w:spacing w:after="0" w:line="240" w:lineRule="auto"/>
        <w:ind w:firstLine="708"/>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Участниками бюджетного процесса в Рузском муниципальном округе являются:</w:t>
      </w:r>
    </w:p>
    <w:p w14:paraId="12855609">
      <w:pPr>
        <w:spacing w:after="0" w:line="240" w:lineRule="auto"/>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 xml:space="preserve">- Совет депутатов </w:t>
      </w:r>
      <w:bookmarkStart w:id="1" w:name="_Hlk190269909"/>
      <w:r>
        <w:rPr>
          <w:rFonts w:ascii="Times New Roman" w:hAnsi="Times New Roman" w:cs="Times New Roman"/>
          <w:color w:val="000000" w:themeColor="text1"/>
          <w:sz w:val="28"/>
          <w:szCs w:val="28"/>
          <w:highlight w:val="none"/>
        </w:rPr>
        <w:t xml:space="preserve">Рузского муниципального округа </w:t>
      </w:r>
      <w:bookmarkEnd w:id="1"/>
      <w:r>
        <w:rPr>
          <w:rFonts w:ascii="Times New Roman" w:hAnsi="Times New Roman" w:cs="Times New Roman"/>
          <w:color w:val="000000" w:themeColor="text1"/>
          <w:sz w:val="28"/>
          <w:szCs w:val="28"/>
          <w:highlight w:val="none"/>
        </w:rPr>
        <w:t>(далее - Совет депутатов);</w:t>
      </w:r>
    </w:p>
    <w:p w14:paraId="6473BE91">
      <w:pPr>
        <w:spacing w:after="0" w:line="240" w:lineRule="auto"/>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 глава Рузского муниципального округа (далее - Глава);</w:t>
      </w:r>
    </w:p>
    <w:p w14:paraId="52FD1642">
      <w:pPr>
        <w:spacing w:after="0" w:line="240" w:lineRule="auto"/>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 администрация Рузского муниципального округа (далее - Администрация);</w:t>
      </w:r>
    </w:p>
    <w:p w14:paraId="3F3D353D">
      <w:pPr>
        <w:spacing w:after="0" w:line="240" w:lineRule="auto"/>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 Контрольно-счетная палата Рузского муниципального округа (далее - Контрольно-счетная палата);</w:t>
      </w:r>
    </w:p>
    <w:p w14:paraId="3D295573">
      <w:pPr>
        <w:spacing w:after="0" w:line="240" w:lineRule="auto"/>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 главные распорядители (распорядители) бюджетных средств (далее - главные распорядители);</w:t>
      </w:r>
    </w:p>
    <w:p w14:paraId="0AC37447">
      <w:pPr>
        <w:spacing w:after="0" w:line="240" w:lineRule="auto"/>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 получатели бюджетных средств</w:t>
      </w:r>
      <w:r>
        <w:rPr>
          <w:highlight w:val="none"/>
        </w:rPr>
        <w:t xml:space="preserve"> </w:t>
      </w:r>
      <w:r>
        <w:rPr>
          <w:rFonts w:ascii="Times New Roman" w:hAnsi="Times New Roman" w:cs="Times New Roman"/>
          <w:color w:val="000000" w:themeColor="text1"/>
          <w:sz w:val="28"/>
          <w:szCs w:val="28"/>
          <w:highlight w:val="none"/>
        </w:rPr>
        <w:t>Рузского муниципального округа;</w:t>
      </w:r>
    </w:p>
    <w:p w14:paraId="64D65A07">
      <w:pPr>
        <w:spacing w:after="0" w:line="240" w:lineRule="auto"/>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 главные администраторы (администраторы) доходов бюджета</w:t>
      </w:r>
      <w:r>
        <w:rPr>
          <w:highlight w:val="none"/>
        </w:rPr>
        <w:t xml:space="preserve"> </w:t>
      </w:r>
      <w:r>
        <w:rPr>
          <w:rFonts w:ascii="Times New Roman" w:hAnsi="Times New Roman" w:cs="Times New Roman"/>
          <w:color w:val="000000" w:themeColor="text1"/>
          <w:sz w:val="28"/>
          <w:szCs w:val="28"/>
          <w:highlight w:val="none"/>
        </w:rPr>
        <w:t>Рузского муниципального округа;</w:t>
      </w:r>
    </w:p>
    <w:p w14:paraId="434E4428">
      <w:pPr>
        <w:spacing w:after="0" w:line="240" w:lineRule="auto"/>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 главные администраторы (администраторы) источников финансирования дефицита бюджета</w:t>
      </w:r>
      <w:r>
        <w:rPr>
          <w:highlight w:val="none"/>
        </w:rPr>
        <w:t xml:space="preserve"> </w:t>
      </w:r>
      <w:r>
        <w:rPr>
          <w:rFonts w:ascii="Times New Roman" w:hAnsi="Times New Roman" w:cs="Times New Roman"/>
          <w:color w:val="000000" w:themeColor="text1"/>
          <w:sz w:val="28"/>
          <w:szCs w:val="28"/>
          <w:highlight w:val="none"/>
        </w:rPr>
        <w:t>Рузского муниципального округа;</w:t>
      </w:r>
    </w:p>
    <w:p w14:paraId="1DA1B4D8">
      <w:pPr>
        <w:spacing w:after="0" w:line="240" w:lineRule="auto"/>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t>- финансовый орган Администрации (далее - финансовый орган).</w:t>
      </w:r>
    </w:p>
    <w:p w14:paraId="6EF39B7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Участники бюджетного процесса вправе осуществлять бюджетные полномочия, установленные Бюджетным кодексом Российской Федерации, Уставом Рузского муниципального округа и другими нормативными правовыми актами действующего законодательства, регулирующими бюджетные правоотношения.</w:t>
      </w:r>
    </w:p>
    <w:p w14:paraId="44DEBF9C">
      <w:pPr>
        <w:spacing w:after="0" w:line="240" w:lineRule="auto"/>
        <w:ind w:firstLine="708"/>
        <w:jc w:val="both"/>
        <w:rPr>
          <w:rFonts w:ascii="Times New Roman" w:hAnsi="Times New Roman" w:cs="Times New Roman"/>
          <w:color w:val="000000" w:themeColor="text1"/>
          <w:sz w:val="28"/>
          <w:szCs w:val="28"/>
        </w:rPr>
      </w:pPr>
    </w:p>
    <w:p w14:paraId="55167710">
      <w:pPr>
        <w:spacing w:after="0" w:line="240" w:lineRule="auto"/>
        <w:ind w:firstLine="708"/>
        <w:jc w:val="both"/>
        <w:rPr>
          <w:rFonts w:ascii="Times New Roman" w:hAnsi="Times New Roman" w:cs="Times New Roman"/>
          <w:color w:val="000000" w:themeColor="text1"/>
          <w:sz w:val="28"/>
          <w:szCs w:val="28"/>
        </w:rPr>
      </w:pPr>
    </w:p>
    <w:p w14:paraId="7CAA9F7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Раздел II. СОСТАВЛЕНИЕ ПРОЕКТА БЮДЖЕТА</w:t>
      </w:r>
    </w:p>
    <w:p w14:paraId="473D1161">
      <w:pPr>
        <w:spacing w:after="0" w:line="240" w:lineRule="auto"/>
        <w:jc w:val="both"/>
        <w:rPr>
          <w:rFonts w:ascii="Times New Roman" w:hAnsi="Times New Roman" w:cs="Times New Roman"/>
          <w:color w:val="000000" w:themeColor="text1"/>
          <w:sz w:val="28"/>
          <w:szCs w:val="28"/>
        </w:rPr>
      </w:pPr>
    </w:p>
    <w:p w14:paraId="2526196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5. Порядок составления проекта бюджета</w:t>
      </w:r>
    </w:p>
    <w:p w14:paraId="38889A4E">
      <w:pPr>
        <w:spacing w:after="0" w:line="240" w:lineRule="auto"/>
        <w:jc w:val="both"/>
        <w:rPr>
          <w:rFonts w:ascii="Times New Roman" w:hAnsi="Times New Roman" w:cs="Times New Roman"/>
          <w:color w:val="000000" w:themeColor="text1"/>
          <w:sz w:val="28"/>
          <w:szCs w:val="28"/>
        </w:rPr>
      </w:pPr>
    </w:p>
    <w:p w14:paraId="4755292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и сроки составления проекта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бюджета, устанавливаются в порядке, установленном Администрацией.</w:t>
      </w:r>
    </w:p>
    <w:p w14:paraId="1D081DDB">
      <w:pPr>
        <w:spacing w:after="0" w:line="240" w:lineRule="auto"/>
        <w:jc w:val="both"/>
        <w:rPr>
          <w:rFonts w:ascii="Times New Roman" w:hAnsi="Times New Roman" w:cs="Times New Roman"/>
          <w:color w:val="000000" w:themeColor="text1"/>
          <w:sz w:val="28"/>
          <w:szCs w:val="28"/>
        </w:rPr>
      </w:pPr>
    </w:p>
    <w:p w14:paraId="3B9138D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Раздел III. РАССМОТРЕНИЕ И УТВЕРЖДЕНИЕ ПРОЕКТА БЮДЖЕТА</w:t>
      </w:r>
    </w:p>
    <w:p w14:paraId="21C25CAF">
      <w:pPr>
        <w:spacing w:after="0" w:line="240" w:lineRule="auto"/>
        <w:jc w:val="both"/>
        <w:rPr>
          <w:rFonts w:ascii="Times New Roman" w:hAnsi="Times New Roman" w:cs="Times New Roman"/>
          <w:color w:val="000000" w:themeColor="text1"/>
          <w:sz w:val="28"/>
          <w:szCs w:val="28"/>
        </w:rPr>
      </w:pPr>
    </w:p>
    <w:p w14:paraId="6FFB353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6. Информация, обязательная к отражению в решении о бюджете</w:t>
      </w:r>
    </w:p>
    <w:p w14:paraId="138D651A">
      <w:pPr>
        <w:spacing w:after="0" w:line="240" w:lineRule="auto"/>
        <w:jc w:val="both"/>
        <w:rPr>
          <w:rFonts w:ascii="Times New Roman" w:hAnsi="Times New Roman" w:cs="Times New Roman"/>
          <w:color w:val="000000" w:themeColor="text1"/>
          <w:sz w:val="28"/>
          <w:szCs w:val="28"/>
        </w:rPr>
      </w:pPr>
    </w:p>
    <w:p w14:paraId="771CCF3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14:paraId="51F40BF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Решением о бюджете утверждаются показатели в соответствии со статьей 184.1 Бюджетного кодекса Российской Федерации, а также:</w:t>
      </w:r>
    </w:p>
    <w:p w14:paraId="10AA8F1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поступление доходов в бюджет на очередной финансовый год (очередной финансовый год и плановый период);</w:t>
      </w:r>
    </w:p>
    <w:p w14:paraId="1A9E6EB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программа муниципальных заимствований Рузского муниципального округа на очередной финансовый год (очередной финансовый год и плановый период);</w:t>
      </w:r>
    </w:p>
    <w:p w14:paraId="74B0B1B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программа муниципальных гарантий Рузского муниципального округа на очередной финансовый год (очередной финансовый год и плановый период);</w:t>
      </w:r>
    </w:p>
    <w:p w14:paraId="1672702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бюджетные ассигнования на очередной финансовый год на осуществление бюджетных инвестиций и предоставление бюджетным и автономным учреждениям Рузского муниципального округа, муниципальным унитарным предприятиям Рузского </w:t>
      </w:r>
      <w:r>
        <w:rPr>
          <w:rFonts w:ascii="Times New Roman" w:hAnsi="Times New Roman" w:cs="Times New Roman"/>
          <w:color w:val="000000" w:themeColor="text1"/>
          <w:sz w:val="28"/>
          <w:szCs w:val="28"/>
          <w:lang w:val="ru-RU"/>
        </w:rPr>
        <w:t>муниципального</w:t>
      </w:r>
      <w:r>
        <w:rPr>
          <w:rFonts w:ascii="Times New Roman" w:hAnsi="Times New Roman" w:cs="Times New Roman"/>
          <w:color w:val="000000" w:themeColor="text1"/>
          <w:sz w:val="28"/>
          <w:szCs w:val="28"/>
        </w:rPr>
        <w:t xml:space="preserve"> округа субсидий на осуществление капитальных вложений в объекты муниципальной собственности, в том числе софинансирование капитальных вложений в которые осуществляется за счет межбюджетных трансфертов из федерального бюджета и бюджета Московской области, раздельно по каждому объекту;</w:t>
      </w:r>
    </w:p>
    <w:p w14:paraId="6A66BB4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бюджетные инвестиции, планируемые к предоставлению в очередном финансовому году юридическим лицам, не являющимся муниципальными учреждениями Рузского </w:t>
      </w:r>
      <w:r>
        <w:rPr>
          <w:rFonts w:ascii="Times New Roman" w:hAnsi="Times New Roman" w:cs="Times New Roman"/>
          <w:color w:val="000000" w:themeColor="text1"/>
          <w:sz w:val="28"/>
          <w:szCs w:val="28"/>
          <w:lang w:val="ru-RU"/>
        </w:rPr>
        <w:t>муниципального</w:t>
      </w:r>
      <w:r>
        <w:rPr>
          <w:rFonts w:ascii="Times New Roman" w:hAnsi="Times New Roman" w:cs="Times New Roman"/>
          <w:color w:val="000000" w:themeColor="text1"/>
          <w:sz w:val="28"/>
          <w:szCs w:val="28"/>
        </w:rPr>
        <w:t xml:space="preserve"> округа или муниципальными унитарными предприятиями Рузского </w:t>
      </w:r>
      <w:r>
        <w:rPr>
          <w:rFonts w:ascii="Times New Roman" w:hAnsi="Times New Roman" w:cs="Times New Roman"/>
          <w:color w:val="000000" w:themeColor="text1"/>
          <w:sz w:val="28"/>
          <w:szCs w:val="28"/>
          <w:lang w:val="ru-RU"/>
        </w:rPr>
        <w:t>муниципального</w:t>
      </w:r>
      <w:r>
        <w:rPr>
          <w:rFonts w:ascii="Times New Roman" w:hAnsi="Times New Roman" w:cs="Times New Roman"/>
          <w:color w:val="000000" w:themeColor="text1"/>
          <w:sz w:val="28"/>
          <w:szCs w:val="28"/>
        </w:rPr>
        <w:t xml:space="preserve"> округа.</w:t>
      </w:r>
    </w:p>
    <w:p w14:paraId="418D22A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Расходы бюджета на осуществление бюджетных инвестиций в объекты капитального строительства (реконструкции) муниципальной собственности Рузского муниципального округа, софинансирование которых в том числе осуществляется за счет субсидий из федерального бюджета и бюджета Московской области, подлежат выделению отдельным приложением в составе решения о бюджете раздельно по каждому инвестиционному проекту и соответствующему ему виду расходов после принятия правовых актов об утверждении распределения указанных субсидий.</w:t>
      </w:r>
    </w:p>
    <w:p w14:paraId="226632C6">
      <w:pPr>
        <w:spacing w:after="0" w:line="240" w:lineRule="auto"/>
        <w:jc w:val="both"/>
        <w:rPr>
          <w:rFonts w:ascii="Times New Roman" w:hAnsi="Times New Roman" w:cs="Times New Roman"/>
          <w:color w:val="000000" w:themeColor="text1"/>
          <w:sz w:val="28"/>
          <w:szCs w:val="28"/>
        </w:rPr>
      </w:pPr>
    </w:p>
    <w:p w14:paraId="62022D0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7. Документы и материалы, представляемые одновременно с проектом бюджета</w:t>
      </w:r>
    </w:p>
    <w:p w14:paraId="2CCBA482">
      <w:pPr>
        <w:spacing w:after="0" w:line="240" w:lineRule="auto"/>
        <w:jc w:val="both"/>
        <w:rPr>
          <w:rFonts w:ascii="Times New Roman" w:hAnsi="Times New Roman" w:cs="Times New Roman"/>
          <w:color w:val="000000" w:themeColor="text1"/>
          <w:sz w:val="28"/>
          <w:szCs w:val="28"/>
        </w:rPr>
      </w:pPr>
    </w:p>
    <w:p w14:paraId="3CB9F9E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Одновременно с проектом решения о бюджете в Совет депутатов представляются материалы и документы в соответствии со статьей 184.2 Бюджетного кодекса Российской Федерации.</w:t>
      </w:r>
    </w:p>
    <w:p w14:paraId="0868B029">
      <w:pPr>
        <w:spacing w:after="0" w:line="240" w:lineRule="auto"/>
        <w:jc w:val="both"/>
        <w:rPr>
          <w:rFonts w:ascii="Times New Roman" w:hAnsi="Times New Roman" w:cs="Times New Roman"/>
          <w:color w:val="000000" w:themeColor="text1"/>
          <w:sz w:val="28"/>
          <w:szCs w:val="28"/>
        </w:rPr>
      </w:pPr>
    </w:p>
    <w:p w14:paraId="097A597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8. Внесение проекта решения о бюджете на рассмотрение Совета депутатов</w:t>
      </w:r>
    </w:p>
    <w:p w14:paraId="5597CD08">
      <w:pPr>
        <w:spacing w:after="0" w:line="240" w:lineRule="auto"/>
        <w:jc w:val="both"/>
        <w:rPr>
          <w:rFonts w:ascii="Times New Roman" w:hAnsi="Times New Roman" w:cs="Times New Roman"/>
          <w:color w:val="000000" w:themeColor="text1"/>
          <w:sz w:val="28"/>
          <w:szCs w:val="28"/>
        </w:rPr>
      </w:pPr>
    </w:p>
    <w:p w14:paraId="06A4A15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Администрация вносит на рассмотрение Совета депутатов проект решения о бюджете не позднее 15 ноября текущего года.</w:t>
      </w:r>
    </w:p>
    <w:p w14:paraId="41AC678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Проект бюджета, вносимый в Совет депутатов, подлежит официальному опубликованию в срок до 20 ноября текущего года.</w:t>
      </w:r>
    </w:p>
    <w:p w14:paraId="26227DA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По проекту бюджета в срок до 10 декабря текущего года проводятся публичные слушания. Публичные слушания могут проводиться как в очной, так и в заочной (дистанционной) форме.</w:t>
      </w:r>
    </w:p>
    <w:p w14:paraId="235F214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подготовки и проведения публичных слушаний определяется Советом депутатов.</w:t>
      </w:r>
    </w:p>
    <w:p w14:paraId="4984841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результатам проведенных публичных слушаний по проекту бюджета составляется итоговый документ (протокол).</w:t>
      </w:r>
    </w:p>
    <w:p w14:paraId="6AD8DCB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Замечания и предложения по проекту бюджета, представленные участниками публичных слушаний, обобщаются и рассматриваются на заседании соответствующей постоянной (профильной) комиссии Совета депутатов.</w:t>
      </w:r>
    </w:p>
    <w:p w14:paraId="25A041FF">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рассмотрении проекта решения о бюджете указанные замечания и предложения (заявления) носят рекомендательный характер.</w:t>
      </w:r>
    </w:p>
    <w:p w14:paraId="7B33CE9F">
      <w:pPr>
        <w:spacing w:after="0" w:line="240" w:lineRule="auto"/>
        <w:jc w:val="both"/>
        <w:rPr>
          <w:rFonts w:ascii="Times New Roman" w:hAnsi="Times New Roman" w:cs="Times New Roman"/>
          <w:color w:val="000000" w:themeColor="text1"/>
          <w:sz w:val="28"/>
          <w:szCs w:val="28"/>
        </w:rPr>
      </w:pPr>
    </w:p>
    <w:p w14:paraId="395BF0CB">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9. Рассмотрение проекта решения о бюджете Советом депутатов и его принятие</w:t>
      </w:r>
    </w:p>
    <w:p w14:paraId="35228E15">
      <w:pPr>
        <w:spacing w:after="0" w:line="240" w:lineRule="auto"/>
        <w:jc w:val="both"/>
        <w:rPr>
          <w:rFonts w:ascii="Times New Roman" w:hAnsi="Times New Roman" w:cs="Times New Roman"/>
          <w:color w:val="000000" w:themeColor="text1"/>
          <w:sz w:val="28"/>
          <w:szCs w:val="28"/>
        </w:rPr>
      </w:pPr>
    </w:p>
    <w:p w14:paraId="1C30134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 течение суток со дня внесения проекта решения о бюджете в Совет депутатов председатель Совета депутатов направляет его в Контрольно-счетную палату для проведения экспертизы данного проекта.</w:t>
      </w:r>
    </w:p>
    <w:p w14:paraId="4A86B71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Контрольно-счетная палата в срок до 1 декабря текущего года подготавливает заключение по проекту решения о бюджете с указанием недостатков данного проекта в случае их выявления.</w:t>
      </w:r>
    </w:p>
    <w:p w14:paraId="2B91DAD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Заключение Контрольно-счетной палаты рассматривается Советом депутатов перед голосованиями по проекту бюджета.</w:t>
      </w:r>
    </w:p>
    <w:p w14:paraId="341F4A5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Внесенный проект решения о бюджете с заключением Контрольно-счетной палаты направляется на рассмотрение депутатам Совета депутатов в срок не позднее 5 декабря.</w:t>
      </w:r>
    </w:p>
    <w:p w14:paraId="5D5C7A0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В срок до 12 декабря текущего года проводится первое чтение по проекту решения о бюджете.</w:t>
      </w:r>
    </w:p>
    <w:p w14:paraId="76CED32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Предметом рассмотрения проекта решения о бюджете в первом чтении при принятии его за основу являются основные характеристики бюджета, к которым относятся:</w:t>
      </w:r>
    </w:p>
    <w:p w14:paraId="22554BB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прогнозируемый в очередном финансовом году (очередном финансовом году и плановом периоде) общий объем доходов;</w:t>
      </w:r>
    </w:p>
    <w:p w14:paraId="6C4746F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общий объем расходов в очередном финансовом году (очередном финансовом году и плановом периоде);</w:t>
      </w:r>
    </w:p>
    <w:p w14:paraId="709C76D1">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условно утверждаемые расходы в объеме не менее 2,5 процента общего объема расходов бюджета на первый год планового периода и не менее 5 процентов общего объема расходов бюджета на второй год планового периода;</w:t>
      </w:r>
    </w:p>
    <w:p w14:paraId="302765F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14:paraId="2E53EF2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дефицит (профицит) бюджета.</w:t>
      </w:r>
    </w:p>
    <w:p w14:paraId="49190D7F">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По результатам рассмотрения проекта решения о бюджете Совет депутатов принимает решение о принятии проекта решения о бюджете за основу.</w:t>
      </w:r>
    </w:p>
    <w:p w14:paraId="07B52AB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После принятия проекта решения о бюджете за основу изменение основных характеристик бюджета на очередной финансовый год (очередной финансовый год и плановый период) не допускается, за исключением показателей бюджета на очередной финансовый год (очередной финансовый год и плановый период), источником финансового обеспечения которых являются межбюджетные трансферты, предоставляемые бюджету из бюджетов бюджетной системы Российской Федерации.</w:t>
      </w:r>
    </w:p>
    <w:p w14:paraId="0FEEB2B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В срок до 26 декабря текущего года проект решения о бюджете рассматривается Советом депутатов во втором чтении.</w:t>
      </w:r>
    </w:p>
    <w:p w14:paraId="1AE4D5D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В случае возникновения несогласованных вопросов по проекту решения о бюджете решением Совета депутатов может создаваться согласительная комиссия, в которую входит равное количество представителей Администрации и Совета депутатов.</w:t>
      </w:r>
    </w:p>
    <w:p w14:paraId="08777E8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Согласительная комиссия рассматривает спорные вопросы в период между первым и вторым чтением проекта решения о бюджете в соответствии с установленным Советом депутатов регламентом и направляет материалы заседания комиссии в Контрольно-счетную палату для подготовки заключения по спорным вопросам. Заключение Контрольно-счетной палаты до проведения второго чтения должно быть доведено до членов согласительной комиссии и направлено председателю Совета депутатов.</w:t>
      </w:r>
    </w:p>
    <w:p w14:paraId="30CC717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Во втором чтении проект решения о бюджете принимается в целом.</w:t>
      </w:r>
    </w:p>
    <w:p w14:paraId="17D8440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Рассмотрение и принятие проекта решения о бюджете за основу и в целом могут осуществляться на одном заседании Совета депутатов.</w:t>
      </w:r>
    </w:p>
    <w:p w14:paraId="713102B4">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Принятое Советом депутатов решение о бюджете направляется Главе для подписания и обнародования.</w:t>
      </w:r>
    </w:p>
    <w:p w14:paraId="20A8DFEE">
      <w:pPr>
        <w:spacing w:after="0" w:line="240" w:lineRule="auto"/>
        <w:jc w:val="both"/>
        <w:rPr>
          <w:rFonts w:ascii="Times New Roman" w:hAnsi="Times New Roman" w:cs="Times New Roman"/>
          <w:color w:val="000000" w:themeColor="text1"/>
          <w:sz w:val="28"/>
          <w:szCs w:val="28"/>
        </w:rPr>
      </w:pPr>
    </w:p>
    <w:p w14:paraId="767F6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10. Вступление в силу решения о бюджете</w:t>
      </w:r>
    </w:p>
    <w:p w14:paraId="30DE380A">
      <w:pPr>
        <w:spacing w:after="0" w:line="240" w:lineRule="auto"/>
        <w:jc w:val="both"/>
        <w:rPr>
          <w:rFonts w:ascii="Times New Roman" w:hAnsi="Times New Roman" w:cs="Times New Roman"/>
          <w:color w:val="000000" w:themeColor="text1"/>
          <w:sz w:val="28"/>
          <w:szCs w:val="28"/>
        </w:rPr>
      </w:pPr>
    </w:p>
    <w:p w14:paraId="457571D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Решение о бюджете вступает в силу с 1 января очередного финансового года, но не ранее его официального опубликования.</w:t>
      </w:r>
    </w:p>
    <w:p w14:paraId="0514CF99">
      <w:pPr>
        <w:spacing w:after="0" w:line="240" w:lineRule="auto"/>
        <w:jc w:val="both"/>
        <w:rPr>
          <w:rFonts w:ascii="Times New Roman" w:hAnsi="Times New Roman" w:cs="Times New Roman"/>
          <w:color w:val="000000" w:themeColor="text1"/>
          <w:sz w:val="28"/>
          <w:szCs w:val="28"/>
        </w:rPr>
      </w:pPr>
    </w:p>
    <w:p w14:paraId="3678B9E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11. Внесение изменений в решение о бюджете</w:t>
      </w:r>
    </w:p>
    <w:p w14:paraId="6C7FD4CB">
      <w:pPr>
        <w:spacing w:after="0" w:line="240" w:lineRule="auto"/>
        <w:jc w:val="both"/>
        <w:rPr>
          <w:rFonts w:ascii="Times New Roman" w:hAnsi="Times New Roman" w:cs="Times New Roman"/>
          <w:color w:val="000000" w:themeColor="text1"/>
          <w:sz w:val="28"/>
          <w:szCs w:val="28"/>
        </w:rPr>
      </w:pPr>
    </w:p>
    <w:p w14:paraId="588656C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Проект решения о внесении изменений в решение о бюджете вносится на рассмотрение Совета депутатов Администрацией.</w:t>
      </w:r>
    </w:p>
    <w:p w14:paraId="558B9A3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В решение о бюджете могут вноситься изменения по всем вопросам, являющимся предметом правового регулирования решения о бюджете, в том числе в части, изменяющей основные характеристики бюджета.</w:t>
      </w:r>
    </w:p>
    <w:p w14:paraId="0F6174E8">
      <w:pPr>
        <w:spacing w:after="0" w:line="240" w:lineRule="auto"/>
        <w:jc w:val="both"/>
        <w:rPr>
          <w:rFonts w:ascii="Times New Roman" w:hAnsi="Times New Roman" w:cs="Times New Roman"/>
          <w:color w:val="000000" w:themeColor="text1"/>
          <w:sz w:val="28"/>
          <w:szCs w:val="28"/>
        </w:rPr>
      </w:pPr>
    </w:p>
    <w:p w14:paraId="76D7850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Раздел IV. ОСОБЕННОСТИ ИСПОЛНЕНИЯ БЮДЖЕТА ПО РАСХОДАМ</w:t>
      </w:r>
    </w:p>
    <w:p w14:paraId="006B175F">
      <w:pPr>
        <w:spacing w:after="0" w:line="240" w:lineRule="auto"/>
        <w:jc w:val="both"/>
        <w:rPr>
          <w:rFonts w:ascii="Times New Roman" w:hAnsi="Times New Roman" w:cs="Times New Roman"/>
          <w:color w:val="000000" w:themeColor="text1"/>
          <w:sz w:val="28"/>
          <w:szCs w:val="28"/>
        </w:rPr>
      </w:pPr>
    </w:p>
    <w:p w14:paraId="6EB0216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12. Дополнительные основания для внесения изменений в сводную бюджетную роспись в соответствии с решениями руководителя финансового органа без внесения изменений в решение о бюджете, связанные с особенностями исполнения бюджета</w:t>
      </w:r>
    </w:p>
    <w:p w14:paraId="1FAF6A7D">
      <w:pPr>
        <w:spacing w:after="0" w:line="240" w:lineRule="auto"/>
        <w:jc w:val="both"/>
        <w:rPr>
          <w:rFonts w:ascii="Times New Roman" w:hAnsi="Times New Roman" w:cs="Times New Roman"/>
          <w:color w:val="000000" w:themeColor="text1"/>
          <w:sz w:val="28"/>
          <w:szCs w:val="28"/>
        </w:rPr>
      </w:pPr>
    </w:p>
    <w:p w14:paraId="32C8D57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Дополнительными основаниями для внесения изменений в показатели сводной бюджетной росписи бюджета в соответствии с решениями руководителя финансового органа без внесения изменений в решение о бюджете, в том числе учитывающими особенности исполнения бюджета, являются:</w:t>
      </w:r>
    </w:p>
    <w:p w14:paraId="4F77840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перераспределение бюджетных ассигнований между главными распорядителями, разделами, подразделами, целевыми статьями и видами расходов классификации расходов бюджета по расходам, финансовое обеспечение которых осуществляется за счет межбюджетных субсидий, субвенций и иных межбюджетных трансфертов, имеющих целевое назначение;</w:t>
      </w:r>
    </w:p>
    <w:p w14:paraId="76248D0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перераспределение бюджетных ассигнований между главными распорядителями, разделами, подразделами, целевыми статьями и видами расходов классификации расходов бюджета в пределах средств бюджета, для софинансирования расходных обязательств в целях выполнения условий предоставления субсидий из федерального бюджета и бюджета Московской области;</w:t>
      </w:r>
    </w:p>
    <w:p w14:paraId="21E6FFE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перераспределение бюджетных ассигнований между главными распорядителями, разделами, подразделами, целевыми статьями и видами расходов классификации расходов бюджета в пределах средств бюджета, для уплаты административных штрафов, пеней, государственной пошлины при подаче исковых заявлений в судебные органы, </w:t>
      </w:r>
      <w:r>
        <w:rPr>
          <w:rFonts w:ascii="Times New Roman" w:hAnsi="Times New Roman" w:cs="Times New Roman"/>
          <w:color w:val="000000" w:themeColor="text1"/>
          <w:sz w:val="28"/>
          <w:szCs w:val="28"/>
          <w:highlight w:val="yellow"/>
        </w:rPr>
        <w:t>налогов,</w:t>
      </w:r>
      <w:r>
        <w:rPr>
          <w:rFonts w:ascii="Times New Roman" w:hAnsi="Times New Roman" w:cs="Times New Roman"/>
          <w:color w:val="000000" w:themeColor="text1"/>
          <w:sz w:val="28"/>
          <w:szCs w:val="28"/>
        </w:rPr>
        <w:t xml:space="preserve"> членских взносов в общественные организации, фонды, ассоциации;</w:t>
      </w:r>
    </w:p>
    <w:p w14:paraId="6190F72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средств бюджета, предусмотренных главному распорядителю на предоставление субсидий бюджетным и автономным учреждениям Рузского муниципального округа;</w:t>
      </w:r>
    </w:p>
    <w:p w14:paraId="18FD413B">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перераспределение бюджетных ассигнований между главными распорядителями, разделами, подразделами, целевыми статьями и видами расходов классификации расходов бюджета в пределах средств бюджета, для выплаты пособий при увольнении, других пособий и компенсаций, на оплату услуг членов ликвидационной комиссии, в связи с реформированием и ликвидацией учреждений, оптимизацией численности сотрудников муниципальных учреждений Рузского муниципального округа и органов местного самоуправления Рузского муниципального округа;</w:t>
      </w:r>
    </w:p>
    <w:p w14:paraId="5152F02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внесение в установленном порядке изменений в муниципальную программу Рузского муниципального округа в части изменения главного распорядителя, объемов финансирования и (или) состава мероприятий в пределах общего объема бюджетных ассигнований, утвержденного решением о бюджете. При этом, до внесения изменений в сводную бюджетную роспись по основанию, указанному в данном абзаце, заказчик муниципальной программы должен письменно уведомить Совет депутатов Рузского муниципального округа Московской области о планируемой корректировке объема финансирования мероприятий муниципальной программы;</w:t>
      </w:r>
    </w:p>
    <w:p w14:paraId="1336BE5F">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перераспределение бюджетных ассигнований между главными распорядителями, разделами, подразделами, целевыми статьями и видами расходов классификации расходов бюджета на подготовку и организацию отдыха и оздоровления детей;</w:t>
      </w:r>
    </w:p>
    <w:p w14:paraId="1D0E824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средств бюджета, предусмотренных главным распорядителям, в целях обособления бюджетных ассигнований на выполнение национальных и федеральных проектов;</w:t>
      </w:r>
    </w:p>
    <w:p w14:paraId="56FE6F3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перераспределение бюджетных ассигнований между главными распорядителями, разделами, подразделами, целевыми статьями и видами расходов классификации расходов бюджета в пределах экономии средств бюджета, сложившейся у заказчиков Рузского муниципального округа по результатам конкурентных способов определения поставщиков (подрядчиков, исполнителей), а также в результате решений Межведомственной комиссии по обоснованию начальной максимальной цены контракта по снижению начальной максимальной цены контракта, цены контракта, заключаемого с единственным поставщиком (подрядчиком, исполнителем), для формирования резерва средств бюджета, распределение которого осуществляется в порядке, установленном главой Рузского городского округа Московской области;</w:t>
      </w:r>
    </w:p>
    <w:p w14:paraId="1884BB7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перераспределение бюджетных ассигнований между главными распорядителями средств бюджета Рузского муниципального округа, разделами, подразделами, целевыми статьями и видами расходов классификации расходов бюджета Рузского муниципального округа в пределах средств бюджета Рузского муниципального округа в целях реализации муниципального социального заказа на оказание муниципальных услуг в социальной сфере;</w:t>
      </w:r>
    </w:p>
    <w:p w14:paraId="604D032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перераспределение бюджетных ассигнований, предусмотренных главным распорядителям на обеспечение деятельности органов местного самоуправления Рузского муниципального округа, подведомственных муниципальных учреждений Рузского муниципального округа, между главными распорядителями, разделами, подразделами, целевыми статьями и видами расходов классификации расходов бюджета в целях реализации решений, принимаемых Советом депутатов, главой по совершенствованию структуры органов местного самоуправления Рузского муниципального округа и муниципальных учреждений Рузского муниципального округа, в том числе направленных на повышение эффективности и результативности их деятельности;</w:t>
      </w:r>
    </w:p>
    <w:p w14:paraId="5D32A61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перераспределение бюджетных ассигнований между главными распорядителями, разделами, подразделами, целевыми статьями и видами расходов классификации расходов бюджета в целях внесения в установленном порядке изменений в разные муниципальные программы Рузского муниципального округа в части изменения объемов финансирования и (или) состава мероприятий, реализуемых в составе разных муниципальных программ Рузского муниципального округа в пределах общего объема бюджетных ассигнований, утвержденного решением о бюджете. При этом, до внесения изменений в сводную бюджетную роспись по основанию, указанному в настоящем подпункте, заказчик муниципальной программы должен письменно уведомить Совет депутатов о планируемой корректировке объема финансирования мероприятий муниципальных программ, а также письменно уведомить муниципального заказчика, курирующего мероприятия другой муниципальной программы;</w:t>
      </w:r>
    </w:p>
    <w:p w14:paraId="48DD955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общего объема бюджетных ассигнований, утвержденного решением о бюджете по главному распорядителю, в целях обеспечения деятельности муниципальных общеобразовательных учреждений Рузского муниципального округа, оказывающих услуги дошкольного, начального общего, основного общего, среднего общего образования;</w:t>
      </w:r>
    </w:p>
    <w:p w14:paraId="34781F9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 перераспределение бюджетных ассигнований между главными распорядителями, разделами, подразделами, целевыми статьями по непрограммным направлениям расходов и видами расходов классификации расходов бюджета в целях исполнения полномочий Совета депутатов и Контрольно-счетной палаты;</w:t>
      </w:r>
    </w:p>
    <w:p w14:paraId="3160592B">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перераспределение бюджетных ассигнований между главными распорядителями, разделами, подразделами, целевыми статьями и видами расходов классификации расходов бюджета в целях обеспечения профессиональной подготовки, переподготовки и повышения квалификации специалистов органов местного самоуправления Рузского </w:t>
      </w:r>
      <w:r>
        <w:rPr>
          <w:rFonts w:ascii="Times New Roman" w:hAnsi="Times New Roman" w:cs="Times New Roman"/>
          <w:color w:val="000000" w:themeColor="text1"/>
          <w:sz w:val="28"/>
          <w:szCs w:val="28"/>
          <w:lang w:val="ru-RU"/>
        </w:rPr>
        <w:t>муниципального</w:t>
      </w:r>
      <w:r>
        <w:rPr>
          <w:rFonts w:ascii="Times New Roman" w:hAnsi="Times New Roman" w:cs="Times New Roman"/>
          <w:color w:val="000000" w:themeColor="text1"/>
          <w:sz w:val="28"/>
          <w:szCs w:val="28"/>
        </w:rPr>
        <w:t xml:space="preserve"> округа, а также работников муниципальных учреждений Рузского </w:t>
      </w:r>
      <w:r>
        <w:rPr>
          <w:rFonts w:ascii="Times New Roman" w:hAnsi="Times New Roman" w:cs="Times New Roman"/>
          <w:color w:val="000000" w:themeColor="text1"/>
          <w:sz w:val="28"/>
          <w:szCs w:val="28"/>
          <w:lang w:val="ru-RU"/>
        </w:rPr>
        <w:t>муниципального</w:t>
      </w:r>
      <w:r>
        <w:rPr>
          <w:rFonts w:ascii="Times New Roman" w:hAnsi="Times New Roman" w:cs="Times New Roman"/>
          <w:color w:val="000000" w:themeColor="text1"/>
          <w:sz w:val="28"/>
          <w:szCs w:val="28"/>
        </w:rPr>
        <w:t xml:space="preserve"> округа;</w:t>
      </w:r>
    </w:p>
    <w:p w14:paraId="2600EDE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средств бюджета, предусмотренных главному распорядителю в целях возврата средств бюджета в бюджет Московской области в случае не достижения значений показателей результативности использования межбюджетных трансфертов из бюджета Московской области, предусмотренных соглашением между главным распорядителем и Администрацией о предоставлении межбюджетных трансфертов;</w:t>
      </w:r>
    </w:p>
    <w:p w14:paraId="76980BC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 перераспределение бюджетных ассигнований между разделами, подразделами, целевыми статьями (программными и непрограммными направлениями расходов), видами расходов классификации расходов бюджета Рузского муниципального округа в пределах средств бюджета Рузского муниципального округа, предусмотренных главным распорядителям на обеспечение деятельности органов местного самоуправления и подведомственных им муниципальных казенных учреждений Рузского муниципального округа;</w:t>
      </w:r>
    </w:p>
    <w:p w14:paraId="6612614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перераспределение бюджетных ассигнований между разделами, подразделами, целевыми статьями (программными и непрограммными направлениями расходов) и видами расходов классификации расходов бюджета в пределах средств бюджета, предусмотренных главным распорядителям, в целях финансового обеспечения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14:paraId="46A5B544">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Дополнительные основания для внесения изменений в сводную бюджетную роспись бюджета в соответствии с решениями руководителя финансового органа без внесения изменений в решение о бюджете, предусмотренные частью 1 настоящей статьи, устанавливаются решением о бюджете на очередной финансовый год и плановый период.</w:t>
      </w:r>
    </w:p>
    <w:p w14:paraId="0C561685">
      <w:pPr>
        <w:spacing w:after="0" w:line="240" w:lineRule="auto"/>
        <w:jc w:val="both"/>
        <w:rPr>
          <w:rFonts w:ascii="Times New Roman" w:hAnsi="Times New Roman" w:cs="Times New Roman"/>
          <w:color w:val="000000" w:themeColor="text1"/>
          <w:sz w:val="28"/>
          <w:szCs w:val="28"/>
        </w:rPr>
      </w:pPr>
    </w:p>
    <w:p w14:paraId="5AC5EED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12.1. Особенности осуществления расходов муниципальными бюджетными и автономными учреждениями Рузского муниципального округа Московской области</w:t>
      </w:r>
    </w:p>
    <w:p w14:paraId="4B904662">
      <w:pPr>
        <w:spacing w:after="0" w:line="240" w:lineRule="auto"/>
        <w:jc w:val="both"/>
        <w:rPr>
          <w:rFonts w:ascii="Times New Roman" w:hAnsi="Times New Roman" w:cs="Times New Roman"/>
          <w:color w:val="000000" w:themeColor="text1"/>
          <w:sz w:val="28"/>
          <w:szCs w:val="28"/>
        </w:rPr>
      </w:pPr>
    </w:p>
    <w:p w14:paraId="11290A1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Расходы муниципальных бюджетных и автономных учреждений Рузского муниципального округа Московской области (далее - бюджетные и автономные учреждения), источником финансового обеспечения которых являются средства, получаемые бюджетными и автономными учреждениями в соответствии с абзацем первым пункта 1 статьи 78.1 Бюджетного кодекса Российской Федерации, учитываемые на лицевых счетах бюджетных и автономных учреждений, открываемых им в Финансовом управлении, осуществляются после проверки в порядке, установленном Финансовым управлением, документов, подтверждающих возникновение денежных обязательств.</w:t>
      </w:r>
    </w:p>
    <w:p w14:paraId="221A2F6B">
      <w:pPr>
        <w:spacing w:after="0" w:line="240" w:lineRule="auto"/>
        <w:jc w:val="both"/>
        <w:rPr>
          <w:rFonts w:ascii="Times New Roman" w:hAnsi="Times New Roman" w:cs="Times New Roman"/>
          <w:color w:val="000000" w:themeColor="text1"/>
          <w:sz w:val="28"/>
          <w:szCs w:val="28"/>
        </w:rPr>
      </w:pPr>
    </w:p>
    <w:p w14:paraId="47F3D47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12.2. Порядок использования остатков средств бюджета, образовавшихся на едином счете бюджета на начало текущего финансового года</w:t>
      </w:r>
    </w:p>
    <w:p w14:paraId="06A02AAB">
      <w:pPr>
        <w:spacing w:after="0" w:line="240" w:lineRule="auto"/>
        <w:jc w:val="both"/>
        <w:rPr>
          <w:rFonts w:ascii="Times New Roman" w:hAnsi="Times New Roman" w:cs="Times New Roman"/>
          <w:color w:val="000000" w:themeColor="text1"/>
          <w:sz w:val="28"/>
          <w:szCs w:val="28"/>
        </w:rPr>
      </w:pPr>
    </w:p>
    <w:p w14:paraId="3FC617D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Установить, что остатки средств бюджета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и суммой увеличения бюджетных ассигнований, направленных в текущем финансовом году на увеличение муниципального дорожного фонда Рузского муниципального округа, на покрытие временных кассовых разрывов,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направляются на исполнение принимаемых в текущем финансовом году дополнительных расходных обязательств при условии включения соответствующих изменений в решение о бюджете на текущий финансовый год и плановый период.</w:t>
      </w:r>
    </w:p>
    <w:p w14:paraId="395523AF">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Действие пункта 1 настоящей статьи применяется в случае отнесения муниципального образования «Рузский муниципальный округ Московской области» к группе заемщиков с высоким или средним уровнем долговой устойчивости в соответствии со статьей 107.1 Бюджетного кодекса Российской Федерации.</w:t>
      </w:r>
    </w:p>
    <w:p w14:paraId="6A59CF98">
      <w:pPr>
        <w:spacing w:after="0" w:line="240" w:lineRule="auto"/>
        <w:jc w:val="both"/>
        <w:rPr>
          <w:rFonts w:ascii="Times New Roman" w:hAnsi="Times New Roman" w:cs="Times New Roman"/>
          <w:color w:val="000000" w:themeColor="text1"/>
          <w:sz w:val="28"/>
          <w:szCs w:val="28"/>
        </w:rPr>
      </w:pPr>
    </w:p>
    <w:p w14:paraId="197B967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Раздел V. СОСТАВЛЕНИЕ, ВНЕШНЯЯ ПРОВЕРКА, РАССМОТРЕНИЕ</w:t>
      </w:r>
    </w:p>
    <w:p w14:paraId="31B7B3E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УТВЕРЖДЕНИЕ ОТЧЕТА ОБ ИСПОЛНЕНИИ БЮДЖЕТА</w:t>
      </w:r>
    </w:p>
    <w:p w14:paraId="4B689932">
      <w:pPr>
        <w:spacing w:after="0" w:line="240" w:lineRule="auto"/>
        <w:jc w:val="both"/>
        <w:rPr>
          <w:rFonts w:ascii="Times New Roman" w:hAnsi="Times New Roman" w:cs="Times New Roman"/>
          <w:color w:val="000000" w:themeColor="text1"/>
          <w:sz w:val="28"/>
          <w:szCs w:val="28"/>
        </w:rPr>
      </w:pPr>
    </w:p>
    <w:p w14:paraId="418BE4A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13. Подготовка бюджетной отчетности</w:t>
      </w:r>
    </w:p>
    <w:p w14:paraId="5331B79C">
      <w:pPr>
        <w:spacing w:after="0" w:line="240" w:lineRule="auto"/>
        <w:jc w:val="both"/>
        <w:rPr>
          <w:rFonts w:ascii="Times New Roman" w:hAnsi="Times New Roman" w:cs="Times New Roman"/>
          <w:color w:val="000000" w:themeColor="text1"/>
          <w:sz w:val="28"/>
          <w:szCs w:val="28"/>
        </w:rPr>
      </w:pPr>
    </w:p>
    <w:p w14:paraId="56FC235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сроки и иные условия составления бюджетной отчетности, в том числе об исполнении бюджета и иной бюджетной отчетности, устанавливаются в соответствии с нормативными правовыми актами Российской Федерации и Московской области.</w:t>
      </w:r>
    </w:p>
    <w:p w14:paraId="21EAC89B">
      <w:pPr>
        <w:spacing w:after="0" w:line="240" w:lineRule="auto"/>
        <w:jc w:val="both"/>
        <w:rPr>
          <w:rFonts w:ascii="Times New Roman" w:hAnsi="Times New Roman" w:cs="Times New Roman"/>
          <w:color w:val="000000" w:themeColor="text1"/>
          <w:sz w:val="28"/>
          <w:szCs w:val="28"/>
        </w:rPr>
      </w:pPr>
    </w:p>
    <w:p w14:paraId="341007F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14. Составление бюджетной отчетности</w:t>
      </w:r>
    </w:p>
    <w:p w14:paraId="04CA5EEC">
      <w:pPr>
        <w:spacing w:after="0" w:line="240" w:lineRule="auto"/>
        <w:jc w:val="both"/>
        <w:rPr>
          <w:rFonts w:ascii="Times New Roman" w:hAnsi="Times New Roman" w:cs="Times New Roman"/>
          <w:color w:val="000000" w:themeColor="text1"/>
          <w:sz w:val="28"/>
          <w:szCs w:val="28"/>
        </w:rPr>
      </w:pPr>
    </w:p>
    <w:p w14:paraId="3F2F0DC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Отчет об исполнении бюджета ежеквартально составляется финансовым органом. Отчет об исполнении бюджета за первый квартал, полугодие и девять месяцев текущего финансового года утверждается Администрацией и направляется:</w:t>
      </w:r>
    </w:p>
    <w:p w14:paraId="3AC0CD2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Совет депутатов;</w:t>
      </w:r>
    </w:p>
    <w:p w14:paraId="44144BD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Контрольно-счетную палату для подготовки информации Совету депутатов и Главе о ходе исполнения бюджета.</w:t>
      </w:r>
    </w:p>
    <w:p w14:paraId="5BC3B57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Информация Контрольно-счетной палаты о ходе исполнения бюджета рассматривается соответствующей постоянной (профильной) комиссией Совета депутатов. Итогом рассмотрения может быть принятие решения о вынесении отдельных вопросов об исполнении бюджета на рассмотрение Советом депутатов с участием сотрудников отраслевых (функциональных) и территориальных органов Администрации или отдельных должностных лиц.</w:t>
      </w:r>
    </w:p>
    <w:p w14:paraId="3DF7459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Глава по результатам информации Контрольно-счетной палаты о ходе исполнения бюджета принимает решение о поощрении сотрудников отраслевых (функциональных) и территориальных органов Администрации, а также отдельных должностных лиц или применении к ним мер наказания в виде дисциплинарного взыскания.</w:t>
      </w:r>
    </w:p>
    <w:p w14:paraId="64270697">
      <w:pPr>
        <w:spacing w:after="0" w:line="240" w:lineRule="auto"/>
        <w:jc w:val="both"/>
        <w:rPr>
          <w:rFonts w:ascii="Times New Roman" w:hAnsi="Times New Roman" w:cs="Times New Roman"/>
          <w:color w:val="000000" w:themeColor="text1"/>
          <w:sz w:val="28"/>
          <w:szCs w:val="28"/>
        </w:rPr>
      </w:pPr>
    </w:p>
    <w:p w14:paraId="0C77284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15. Внешняя проверка годового отчета об исполнении бюджета</w:t>
      </w:r>
    </w:p>
    <w:p w14:paraId="3AF56088">
      <w:pPr>
        <w:spacing w:after="0" w:line="240" w:lineRule="auto"/>
        <w:jc w:val="both"/>
        <w:rPr>
          <w:rFonts w:ascii="Times New Roman" w:hAnsi="Times New Roman" w:cs="Times New Roman"/>
          <w:color w:val="000000" w:themeColor="text1"/>
          <w:sz w:val="28"/>
          <w:szCs w:val="28"/>
        </w:rPr>
      </w:pPr>
    </w:p>
    <w:p w14:paraId="50885A2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Годовой отчет об исполнении бюджета до его рассмотрения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41F02E0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Внешняя проверка годового отчета об исполнении бюджета осуществляется Контрольно-счетной палатой в порядке, установленном Советом депутатов, с соблюдением требований Бюджетного кодекса Российской Федерации.</w:t>
      </w:r>
    </w:p>
    <w:p w14:paraId="055CC2F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Администрация представляет отчет об исполнении бюджета для проведения внешней проверки отчета об исполнении бюджета в Контрольно-счетную палату не позднее 1 апреля года, следующего за отчетным.</w:t>
      </w:r>
    </w:p>
    <w:p w14:paraId="291E2D6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Внешняя проверка отчета об исполнении бюджета проводится Контрольно-счетной палатой в срок, не превышающий одного месяца.</w:t>
      </w:r>
    </w:p>
    <w:p w14:paraId="6F3A5E7F">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Заключение на годовой отчет об исполнении бюджета представляется Контрольно-счетной палатой в Совет депутатов с одновременным направлением в Администрацию не позднее 30 апреля года, следующего за отчетным.</w:t>
      </w:r>
    </w:p>
    <w:p w14:paraId="3BCFEEA4">
      <w:pPr>
        <w:spacing w:after="0" w:line="240" w:lineRule="auto"/>
        <w:jc w:val="both"/>
        <w:rPr>
          <w:rFonts w:ascii="Times New Roman" w:hAnsi="Times New Roman" w:cs="Times New Roman"/>
          <w:color w:val="000000" w:themeColor="text1"/>
          <w:sz w:val="28"/>
          <w:szCs w:val="28"/>
        </w:rPr>
      </w:pPr>
    </w:p>
    <w:p w14:paraId="7C87CE0A">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16. Заключение о внешней проверке отчета об исполнении бюджета</w:t>
      </w:r>
    </w:p>
    <w:p w14:paraId="4B91CABF">
      <w:pPr>
        <w:spacing w:after="0" w:line="240" w:lineRule="auto"/>
        <w:jc w:val="both"/>
        <w:rPr>
          <w:rFonts w:ascii="Times New Roman" w:hAnsi="Times New Roman" w:cs="Times New Roman"/>
          <w:color w:val="000000" w:themeColor="text1"/>
          <w:sz w:val="28"/>
          <w:szCs w:val="28"/>
        </w:rPr>
      </w:pPr>
    </w:p>
    <w:p w14:paraId="23F38974">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Заключение о внешней проверке отчета об исполнении бюджета содержит разделы:</w:t>
      </w:r>
    </w:p>
    <w:p w14:paraId="0AEA0FF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перечень приложений, отчетов, документов и показателей отчета об исполнении бюджета, которые проверялись;</w:t>
      </w:r>
    </w:p>
    <w:p w14:paraId="44362C4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перечень нормативных правовых актов, которыми руководствовались при проведении внешней проверки и подготовке заключения;</w:t>
      </w:r>
    </w:p>
    <w:p w14:paraId="19F8F33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замечания, предложения и поправки, предлагаемые к принятию Советом депутатов;</w:t>
      </w:r>
    </w:p>
    <w:p w14:paraId="4C18D70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заключение на отчет об исполнении бюджета.</w:t>
      </w:r>
    </w:p>
    <w:p w14:paraId="3D8D601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Общие положения заключения о внешней проверке отчета об исполнении бюджета могут содержать в том числе информацию и показатели по исполнению бюджета в отчетном году, полученные Контрольно-счетной палатой при осуществлении текущего контроля за исполнением бюджета.</w:t>
      </w:r>
    </w:p>
    <w:p w14:paraId="6FD9AFE4">
      <w:pPr>
        <w:spacing w:after="0" w:line="240" w:lineRule="auto"/>
        <w:jc w:val="both"/>
        <w:rPr>
          <w:rFonts w:ascii="Times New Roman" w:hAnsi="Times New Roman" w:cs="Times New Roman"/>
          <w:color w:val="000000" w:themeColor="text1"/>
          <w:sz w:val="28"/>
          <w:szCs w:val="28"/>
        </w:rPr>
      </w:pPr>
    </w:p>
    <w:p w14:paraId="6AB2759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17. Внесение годового отчета об исполнении бюджета на рассмотрение Совета депутатов</w:t>
      </w:r>
    </w:p>
    <w:p w14:paraId="4500E62E">
      <w:pPr>
        <w:spacing w:after="0" w:line="240" w:lineRule="auto"/>
        <w:jc w:val="both"/>
        <w:rPr>
          <w:rFonts w:ascii="Times New Roman" w:hAnsi="Times New Roman" w:cs="Times New Roman"/>
          <w:color w:val="000000" w:themeColor="text1"/>
          <w:sz w:val="28"/>
          <w:szCs w:val="28"/>
        </w:rPr>
      </w:pPr>
    </w:p>
    <w:p w14:paraId="5AD31BD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Годовой отчет об исполнении бюджета вносится в Совет депутатов Администрацией не позднее 1 мая года, следующего за отчетным.</w:t>
      </w:r>
    </w:p>
    <w:p w14:paraId="55AE87C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Одновременно с отчетом об исполнении бюджета в Совет депутатов вносятся:</w:t>
      </w:r>
    </w:p>
    <w:p w14:paraId="6C0A535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проект решения об исполнении бюджета за отчетный финансовый год;</w:t>
      </w:r>
    </w:p>
    <w:p w14:paraId="491ADB84">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отчет об использовании бюджетных ассигнований резервного фонда;</w:t>
      </w:r>
    </w:p>
    <w:p w14:paraId="5813D3F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отчет о доходах, полученных от использования муниципального имущества;</w:t>
      </w:r>
    </w:p>
    <w:p w14:paraId="2FE2B12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p>
    <w:p w14:paraId="0F4A3BF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сведения о муниципальном долге по формам долговых обязательств;</w:t>
      </w:r>
    </w:p>
    <w:p w14:paraId="76ED97C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сведения о выполнении программы муниципальных заимствований;</w:t>
      </w:r>
    </w:p>
    <w:p w14:paraId="6E0E159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сведения о выполнении программы предоставления муниципальных гарантий;</w:t>
      </w:r>
    </w:p>
    <w:p w14:paraId="1E5605F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информация о финансировании объектов строительства;</w:t>
      </w:r>
    </w:p>
    <w:p w14:paraId="730E6DC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информация о межбюджетных трансфертах;</w:t>
      </w:r>
    </w:p>
    <w:p w14:paraId="2059BB0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бюджетная отчетность об исполнении бюджета.</w:t>
      </w:r>
    </w:p>
    <w:p w14:paraId="0077D32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Отдельными приложениями к решению об исполнении бюджета утверждаются показатели в соответствии со ст. 264.6 Бюджетного кодекса Российской Федерации.</w:t>
      </w:r>
    </w:p>
    <w:p w14:paraId="220D4EF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00A5C7D5">
      <w:pPr>
        <w:spacing w:after="0" w:line="240" w:lineRule="auto"/>
        <w:jc w:val="both"/>
        <w:rPr>
          <w:rFonts w:ascii="Times New Roman" w:hAnsi="Times New Roman" w:cs="Times New Roman"/>
          <w:color w:val="000000" w:themeColor="text1"/>
          <w:sz w:val="28"/>
          <w:szCs w:val="28"/>
        </w:rPr>
      </w:pPr>
    </w:p>
    <w:p w14:paraId="2840765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18. Публичные слушания об исполнении бюджета</w:t>
      </w:r>
    </w:p>
    <w:p w14:paraId="34132CB6">
      <w:pPr>
        <w:spacing w:after="0" w:line="240" w:lineRule="auto"/>
        <w:jc w:val="both"/>
        <w:rPr>
          <w:rFonts w:ascii="Times New Roman" w:hAnsi="Times New Roman" w:cs="Times New Roman"/>
          <w:color w:val="000000" w:themeColor="text1"/>
          <w:sz w:val="28"/>
          <w:szCs w:val="28"/>
        </w:rPr>
      </w:pPr>
    </w:p>
    <w:p w14:paraId="7C9363E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По проекту годового отчета об исполнении бюджета проводятся публичные слушания. Публичные слушания могут проводиться как в очной, так и в заочной (дистанционной) форме.</w:t>
      </w:r>
    </w:p>
    <w:p w14:paraId="0EFABCD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Замечания, предложения и поправки к проекту решения об исполнении бюджета, представленные участниками публичных слушаний:</w:t>
      </w:r>
    </w:p>
    <w:p w14:paraId="296849C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обобщаются и доводятся до сведения участников бюджетного процесса;</w:t>
      </w:r>
    </w:p>
    <w:p w14:paraId="56396C2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носят рекомендательный характер при рассмотрении вопроса Советом депутатов.</w:t>
      </w:r>
    </w:p>
    <w:p w14:paraId="09D29561">
      <w:pPr>
        <w:spacing w:after="0" w:line="240" w:lineRule="auto"/>
        <w:jc w:val="both"/>
        <w:rPr>
          <w:rFonts w:ascii="Times New Roman" w:hAnsi="Times New Roman" w:cs="Times New Roman"/>
          <w:color w:val="000000" w:themeColor="text1"/>
          <w:sz w:val="28"/>
          <w:szCs w:val="28"/>
        </w:rPr>
      </w:pPr>
    </w:p>
    <w:p w14:paraId="7342CA5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19. Рассмотрение и утверждение годового отчета об исполнении бюджета</w:t>
      </w:r>
    </w:p>
    <w:p w14:paraId="25EE48EB">
      <w:pPr>
        <w:spacing w:after="0" w:line="240" w:lineRule="auto"/>
        <w:jc w:val="both"/>
        <w:rPr>
          <w:rFonts w:ascii="Times New Roman" w:hAnsi="Times New Roman" w:cs="Times New Roman"/>
          <w:color w:val="000000" w:themeColor="text1"/>
          <w:sz w:val="28"/>
          <w:szCs w:val="28"/>
        </w:rPr>
      </w:pPr>
    </w:p>
    <w:p w14:paraId="6CE8C7CF">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Совет депутатов рассматривает годовой отчет об исполнении бюджета на ближайшем после публичных слушаний заседании.</w:t>
      </w:r>
    </w:p>
    <w:p w14:paraId="202A2EE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Годовой отчет об исполнении бюджета подлежит официальному опубликованию.</w:t>
      </w:r>
    </w:p>
    <w:p w14:paraId="4E2D72B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Совет депутатов при утверждении годового отчета об исполнении бюджета заслушивает доклады уполномоченных должностных лиц Администрации об исполнении бюджета, а также доклад председателя Контрольно-счетной палаты.</w:t>
      </w:r>
    </w:p>
    <w:p w14:paraId="1503B36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По итогам рассмотрения отчета об исполнении бюджета Совет депутатов принимает одно из следующих решений:</w:t>
      </w:r>
    </w:p>
    <w:p w14:paraId="5CD33F94">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 утверждении годового отчета об исполнении бюджета;</w:t>
      </w:r>
    </w:p>
    <w:p w14:paraId="630C48B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 отклонении годового отчета об исполнении бюджета.</w:t>
      </w:r>
    </w:p>
    <w:p w14:paraId="553EF80F">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отклонения годового отчета об исполнении бюджета в решении Совета депутатов указываются причины отклонения - виды нарушений и меры принуждения к нарушителям бюджетного законодательства в соответствии с Бюджетным кодексом Российской Федерации.</w:t>
      </w:r>
    </w:p>
    <w:p w14:paraId="4F0D508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Администрация повторно представляет отчет не позднее 7 календарных дней со дня принятия решения об отклонении годового отчета.</w:t>
      </w:r>
    </w:p>
    <w:p w14:paraId="0E147BAD">
      <w:pPr>
        <w:spacing w:after="0" w:line="240" w:lineRule="auto"/>
        <w:jc w:val="both"/>
        <w:rPr>
          <w:rFonts w:ascii="Times New Roman" w:hAnsi="Times New Roman" w:cs="Times New Roman"/>
          <w:color w:val="000000" w:themeColor="text1"/>
          <w:sz w:val="28"/>
          <w:szCs w:val="28"/>
        </w:rPr>
      </w:pPr>
    </w:p>
    <w:p w14:paraId="4A57DAE5">
      <w:pPr>
        <w:spacing w:after="0" w:line="240" w:lineRule="auto"/>
        <w:jc w:val="both"/>
        <w:rPr>
          <w:rFonts w:ascii="Times New Roman" w:hAnsi="Times New Roman" w:cs="Times New Roman"/>
          <w:color w:val="000000" w:themeColor="text1"/>
          <w:sz w:val="28"/>
          <w:szCs w:val="28"/>
        </w:rPr>
      </w:pPr>
    </w:p>
    <w:p w14:paraId="7D3B168D">
      <w:pPr>
        <w:spacing w:after="0" w:line="240" w:lineRule="auto"/>
        <w:jc w:val="both"/>
        <w:rPr>
          <w:rFonts w:ascii="Times New Roman" w:hAnsi="Times New Roman" w:cs="Times New Roman"/>
          <w:color w:val="000000" w:themeColor="text1"/>
          <w:sz w:val="28"/>
          <w:szCs w:val="28"/>
        </w:rPr>
      </w:pPr>
    </w:p>
    <w:p w14:paraId="0BCAD80E">
      <w:pPr>
        <w:spacing w:after="0" w:line="240" w:lineRule="auto"/>
        <w:jc w:val="both"/>
        <w:rPr>
          <w:rFonts w:ascii="Times New Roman" w:hAnsi="Times New Roman" w:cs="Times New Roman"/>
          <w:color w:val="000000" w:themeColor="text1"/>
          <w:sz w:val="28"/>
          <w:szCs w:val="28"/>
        </w:rPr>
      </w:pPr>
    </w:p>
    <w:p w14:paraId="3C9FA939">
      <w:pPr>
        <w:spacing w:after="0" w:line="240" w:lineRule="auto"/>
        <w:jc w:val="both"/>
        <w:rPr>
          <w:rFonts w:ascii="Times New Roman" w:hAnsi="Times New Roman" w:cs="Times New Roman"/>
          <w:color w:val="000000" w:themeColor="text1"/>
          <w:sz w:val="28"/>
          <w:szCs w:val="28"/>
        </w:rPr>
      </w:pPr>
    </w:p>
    <w:p w14:paraId="120BF677">
      <w:pPr>
        <w:spacing w:after="0" w:line="240" w:lineRule="auto"/>
        <w:jc w:val="both"/>
        <w:rPr>
          <w:rFonts w:ascii="Times New Roman" w:hAnsi="Times New Roman" w:cs="Times New Roman"/>
          <w:color w:val="000000" w:themeColor="text1"/>
          <w:sz w:val="28"/>
          <w:szCs w:val="28"/>
        </w:rPr>
      </w:pPr>
    </w:p>
    <w:p w14:paraId="42DFC559">
      <w:pPr>
        <w:spacing w:after="0" w:line="240" w:lineRule="auto"/>
        <w:jc w:val="both"/>
        <w:rPr>
          <w:rFonts w:ascii="Times New Roman" w:hAnsi="Times New Roman" w:cs="Times New Roman"/>
          <w:color w:val="000000" w:themeColor="text1"/>
          <w:sz w:val="28"/>
          <w:szCs w:val="28"/>
        </w:rPr>
      </w:pPr>
    </w:p>
    <w:p w14:paraId="6C9AA5A1">
      <w:pPr>
        <w:spacing w:after="0" w:line="240" w:lineRule="auto"/>
        <w:jc w:val="both"/>
        <w:rPr>
          <w:rFonts w:ascii="Times New Roman" w:hAnsi="Times New Roman" w:cs="Times New Roman"/>
          <w:color w:val="000000" w:themeColor="text1"/>
          <w:sz w:val="28"/>
          <w:szCs w:val="28"/>
        </w:rPr>
      </w:pPr>
    </w:p>
    <w:p w14:paraId="60317A51">
      <w:pPr>
        <w:spacing w:after="0" w:line="240" w:lineRule="auto"/>
        <w:jc w:val="both"/>
        <w:rPr>
          <w:rFonts w:ascii="Times New Roman" w:hAnsi="Times New Roman" w:cs="Times New Roman"/>
          <w:color w:val="000000" w:themeColor="text1"/>
          <w:sz w:val="28"/>
          <w:szCs w:val="28"/>
        </w:rPr>
      </w:pPr>
    </w:p>
    <w:p w14:paraId="7E8D1D08">
      <w:pPr>
        <w:spacing w:after="0" w:line="240" w:lineRule="auto"/>
        <w:jc w:val="both"/>
        <w:rPr>
          <w:rFonts w:ascii="Times New Roman" w:hAnsi="Times New Roman" w:cs="Times New Roman"/>
          <w:color w:val="000000" w:themeColor="text1"/>
          <w:sz w:val="28"/>
          <w:szCs w:val="28"/>
        </w:rPr>
      </w:pPr>
    </w:p>
    <w:p w14:paraId="58F0A38C">
      <w:pPr>
        <w:spacing w:after="0" w:line="240" w:lineRule="auto"/>
        <w:jc w:val="both"/>
        <w:rPr>
          <w:rFonts w:ascii="Times New Roman" w:hAnsi="Times New Roman" w:cs="Times New Roman"/>
          <w:color w:val="000000" w:themeColor="text1"/>
          <w:sz w:val="28"/>
          <w:szCs w:val="28"/>
        </w:rPr>
      </w:pPr>
    </w:p>
    <w:p w14:paraId="27BBDC5F">
      <w:pPr>
        <w:spacing w:after="0" w:line="240" w:lineRule="auto"/>
        <w:jc w:val="both"/>
        <w:rPr>
          <w:rFonts w:ascii="Times New Roman" w:hAnsi="Times New Roman" w:cs="Times New Roman"/>
          <w:color w:val="000000" w:themeColor="text1"/>
          <w:sz w:val="28"/>
          <w:szCs w:val="28"/>
        </w:rPr>
      </w:pPr>
    </w:p>
    <w:p w14:paraId="30FBC50E">
      <w:pPr>
        <w:spacing w:after="0" w:line="240" w:lineRule="auto"/>
        <w:jc w:val="both"/>
        <w:rPr>
          <w:rFonts w:ascii="Times New Roman" w:hAnsi="Times New Roman" w:cs="Times New Roman"/>
          <w:color w:val="000000" w:themeColor="text1"/>
          <w:sz w:val="28"/>
          <w:szCs w:val="28"/>
        </w:rPr>
      </w:pPr>
    </w:p>
    <w:p w14:paraId="32DA033D">
      <w:pPr>
        <w:spacing w:after="0" w:line="240" w:lineRule="auto"/>
        <w:jc w:val="both"/>
        <w:rPr>
          <w:rFonts w:ascii="Times New Roman" w:hAnsi="Times New Roman" w:cs="Times New Roman"/>
          <w:color w:val="000000" w:themeColor="text1"/>
          <w:sz w:val="28"/>
          <w:szCs w:val="28"/>
        </w:rPr>
      </w:pPr>
    </w:p>
    <w:p w14:paraId="32DB3310">
      <w:pPr>
        <w:spacing w:after="0" w:line="240" w:lineRule="auto"/>
        <w:jc w:val="both"/>
        <w:rPr>
          <w:rFonts w:ascii="Times New Roman" w:hAnsi="Times New Roman" w:cs="Times New Roman"/>
          <w:color w:val="000000" w:themeColor="text1"/>
          <w:sz w:val="28"/>
          <w:szCs w:val="28"/>
        </w:rPr>
      </w:pPr>
    </w:p>
    <w:p w14:paraId="71455ABE">
      <w:pPr>
        <w:spacing w:after="0" w:line="240" w:lineRule="auto"/>
        <w:jc w:val="both"/>
        <w:rPr>
          <w:rFonts w:ascii="Times New Roman" w:hAnsi="Times New Roman" w:cs="Times New Roman"/>
          <w:color w:val="000000" w:themeColor="text1"/>
          <w:sz w:val="28"/>
          <w:szCs w:val="28"/>
        </w:rPr>
      </w:pPr>
    </w:p>
    <w:p w14:paraId="2762E4CA">
      <w:pPr>
        <w:spacing w:after="0" w:line="240" w:lineRule="auto"/>
        <w:jc w:val="both"/>
        <w:rPr>
          <w:rFonts w:ascii="Times New Roman" w:hAnsi="Times New Roman" w:cs="Times New Roman"/>
          <w:color w:val="000000" w:themeColor="text1"/>
          <w:sz w:val="28"/>
          <w:szCs w:val="28"/>
        </w:rPr>
      </w:pPr>
    </w:p>
    <w:p w14:paraId="77D9A7F9">
      <w:pPr>
        <w:spacing w:after="0" w:line="240" w:lineRule="auto"/>
        <w:jc w:val="both"/>
        <w:rPr>
          <w:rFonts w:ascii="Times New Roman" w:hAnsi="Times New Roman" w:cs="Times New Roman"/>
          <w:color w:val="000000" w:themeColor="text1"/>
          <w:sz w:val="28"/>
          <w:szCs w:val="28"/>
        </w:rPr>
      </w:pPr>
    </w:p>
    <w:p w14:paraId="4D86DFE6">
      <w:pPr>
        <w:spacing w:after="0" w:line="240" w:lineRule="auto"/>
        <w:jc w:val="both"/>
        <w:rPr>
          <w:rFonts w:ascii="Times New Roman" w:hAnsi="Times New Roman" w:cs="Times New Roman"/>
          <w:color w:val="000000" w:themeColor="text1"/>
          <w:sz w:val="28"/>
          <w:szCs w:val="28"/>
        </w:rPr>
      </w:pPr>
    </w:p>
    <w:p w14:paraId="1ED67B83">
      <w:pPr>
        <w:spacing w:after="0" w:line="240" w:lineRule="auto"/>
        <w:jc w:val="both"/>
        <w:rPr>
          <w:rFonts w:ascii="Times New Roman" w:hAnsi="Times New Roman" w:cs="Times New Roman"/>
          <w:color w:val="000000" w:themeColor="text1"/>
          <w:sz w:val="28"/>
          <w:szCs w:val="28"/>
        </w:rPr>
      </w:pPr>
    </w:p>
    <w:p w14:paraId="3CB58049">
      <w:pPr>
        <w:spacing w:after="0" w:line="240" w:lineRule="auto"/>
        <w:jc w:val="both"/>
        <w:rPr>
          <w:rFonts w:ascii="Times New Roman" w:hAnsi="Times New Roman" w:cs="Times New Roman"/>
          <w:color w:val="000000" w:themeColor="text1"/>
          <w:sz w:val="28"/>
          <w:szCs w:val="28"/>
        </w:rPr>
      </w:pPr>
    </w:p>
    <w:p w14:paraId="5041B659">
      <w:pPr>
        <w:spacing w:after="0" w:line="276" w:lineRule="auto"/>
        <w:jc w:val="center"/>
        <w:rPr>
          <w:rFonts w:ascii="Times New Roman" w:hAnsi="Times New Roman" w:cs="Times New Roman"/>
          <w:b/>
          <w:sz w:val="27"/>
          <w:szCs w:val="27"/>
        </w:rPr>
      </w:pPr>
      <w:r>
        <w:rPr>
          <w:rFonts w:ascii="Times New Roman" w:hAnsi="Times New Roman" w:cs="Times New Roman"/>
          <w:b/>
          <w:sz w:val="27"/>
          <w:szCs w:val="27"/>
        </w:rPr>
        <w:t xml:space="preserve">Пояснительная записка </w:t>
      </w:r>
    </w:p>
    <w:p w14:paraId="28EBD14E">
      <w:pPr>
        <w:spacing w:after="0" w:line="276" w:lineRule="auto"/>
        <w:jc w:val="center"/>
        <w:rPr>
          <w:rFonts w:ascii="Times New Roman" w:hAnsi="Times New Roman" w:cs="Times New Roman"/>
          <w:sz w:val="27"/>
          <w:szCs w:val="27"/>
        </w:rPr>
      </w:pPr>
      <w:r>
        <w:rPr>
          <w:rFonts w:ascii="Times New Roman" w:hAnsi="Times New Roman" w:cs="Times New Roman"/>
          <w:sz w:val="27"/>
          <w:szCs w:val="27"/>
        </w:rPr>
        <w:t xml:space="preserve">к проекту </w:t>
      </w:r>
      <w:r>
        <w:rPr>
          <w:rFonts w:ascii="Times New Roman" w:hAnsi="Times New Roman" w:cs="Times New Roman"/>
          <w:sz w:val="27"/>
          <w:szCs w:val="27"/>
          <w:lang w:val="ru-RU"/>
        </w:rPr>
        <w:t>решения</w:t>
      </w:r>
      <w:r>
        <w:rPr>
          <w:rFonts w:ascii="Times New Roman" w:hAnsi="Times New Roman" w:cs="Times New Roman"/>
          <w:sz w:val="27"/>
          <w:szCs w:val="27"/>
        </w:rPr>
        <w:t xml:space="preserve"> </w:t>
      </w:r>
      <w:r>
        <w:rPr>
          <w:rFonts w:ascii="Times New Roman" w:hAnsi="Times New Roman" w:cs="Times New Roman"/>
          <w:sz w:val="27"/>
          <w:szCs w:val="27"/>
          <w:lang w:val="ru-RU"/>
        </w:rPr>
        <w:t>Совета</w:t>
      </w:r>
      <w:r>
        <w:rPr>
          <w:rFonts w:hint="default" w:ascii="Times New Roman" w:hAnsi="Times New Roman" w:cs="Times New Roman"/>
          <w:sz w:val="27"/>
          <w:szCs w:val="27"/>
          <w:lang w:val="ru-RU"/>
        </w:rPr>
        <w:t xml:space="preserve"> депутатов</w:t>
      </w:r>
      <w:r>
        <w:rPr>
          <w:rFonts w:ascii="Times New Roman" w:hAnsi="Times New Roman" w:cs="Times New Roman"/>
          <w:sz w:val="27"/>
          <w:szCs w:val="27"/>
        </w:rPr>
        <w:t xml:space="preserve"> Рузского муниципального округа Московской области «</w:t>
      </w:r>
      <w:r>
        <w:rPr>
          <w:rFonts w:hint="default" w:ascii="Times New Roman" w:hAnsi="Times New Roman"/>
          <w:sz w:val="27"/>
          <w:szCs w:val="27"/>
        </w:rPr>
        <w:t>О Положении о бюджетном процессе в Рузском муниципальном округе Московской области</w:t>
      </w:r>
      <w:r>
        <w:rPr>
          <w:rFonts w:ascii="Times New Roman" w:hAnsi="Times New Roman" w:cs="Times New Roman"/>
          <w:sz w:val="27"/>
          <w:szCs w:val="27"/>
        </w:rPr>
        <w:t>»</w:t>
      </w:r>
    </w:p>
    <w:p w14:paraId="79C95348">
      <w:pPr>
        <w:autoSpaceDE w:val="0"/>
        <w:autoSpaceDN w:val="0"/>
        <w:adjustRightInd w:val="0"/>
        <w:spacing w:after="0" w:line="240" w:lineRule="auto"/>
        <w:ind w:firstLine="540"/>
        <w:jc w:val="both"/>
        <w:rPr>
          <w:rFonts w:ascii="Times New Roman" w:hAnsi="Times New Roman" w:cs="Times New Roman"/>
          <w:sz w:val="24"/>
          <w:szCs w:val="24"/>
        </w:rPr>
      </w:pPr>
    </w:p>
    <w:p w14:paraId="7E1E7AF0">
      <w:pPr>
        <w:pStyle w:val="15"/>
        <w:ind w:firstLine="709"/>
        <w:jc w:val="both"/>
        <w:rPr>
          <w:rFonts w:ascii="Times New Roman" w:hAnsi="Times New Roman"/>
          <w:sz w:val="28"/>
          <w:szCs w:val="28"/>
        </w:rPr>
      </w:pPr>
      <w:r>
        <w:rPr>
          <w:rFonts w:ascii="Times New Roman" w:hAnsi="Times New Roman"/>
          <w:sz w:val="28"/>
          <w:szCs w:val="28"/>
        </w:rPr>
        <w:t xml:space="preserve">Проект </w:t>
      </w:r>
      <w:r>
        <w:rPr>
          <w:rFonts w:ascii="Times New Roman" w:hAnsi="Times New Roman"/>
          <w:sz w:val="28"/>
          <w:szCs w:val="28"/>
          <w:lang w:val="ru-RU"/>
        </w:rPr>
        <w:t>решения</w:t>
      </w:r>
      <w:r>
        <w:rPr>
          <w:rFonts w:hint="default" w:ascii="Times New Roman" w:hAnsi="Times New Roman"/>
          <w:sz w:val="28"/>
          <w:szCs w:val="28"/>
          <w:lang w:val="ru-RU"/>
        </w:rPr>
        <w:t xml:space="preserve"> Совета Депутатов</w:t>
      </w:r>
      <w:r>
        <w:rPr>
          <w:rFonts w:ascii="Times New Roman" w:hAnsi="Times New Roman"/>
          <w:sz w:val="28"/>
          <w:szCs w:val="28"/>
        </w:rPr>
        <w:t xml:space="preserve"> Рузского муниципального округа Московской области «</w:t>
      </w:r>
      <w:r>
        <w:rPr>
          <w:rFonts w:hint="default" w:ascii="Times New Roman" w:hAnsi="Times New Roman"/>
          <w:sz w:val="28"/>
          <w:szCs w:val="28"/>
        </w:rPr>
        <w:t>О Положении о бюджетном процессе в Рузском муниципальном округе Московской области</w:t>
      </w:r>
      <w:r>
        <w:rPr>
          <w:rFonts w:ascii="Times New Roman" w:hAnsi="Times New Roman"/>
          <w:sz w:val="28"/>
          <w:szCs w:val="28"/>
        </w:rPr>
        <w:t xml:space="preserve">» (далее ‒ проект </w:t>
      </w:r>
      <w:r>
        <w:rPr>
          <w:rFonts w:ascii="Times New Roman" w:hAnsi="Times New Roman"/>
          <w:sz w:val="28"/>
          <w:szCs w:val="28"/>
          <w:lang w:val="ru-RU"/>
        </w:rPr>
        <w:t>решения</w:t>
      </w:r>
      <w:r>
        <w:rPr>
          <w:rFonts w:ascii="Times New Roman" w:hAnsi="Times New Roman"/>
          <w:sz w:val="28"/>
          <w:szCs w:val="28"/>
        </w:rPr>
        <w:t>) разработан Финансовым управлением Администрации Рузского муниципального округа в целях приведения нормативных правовых актов Рузского муниципального округа в соответствие с Законом Московской области от 28.11.2024 № 226/2О24-ОЗ «О регулировании отдельных вопросов, связанных с наделением статусом муниципального округа отдельных муниципальных образований» и решением Совета депутатов Рузского городского округа от 17.12.2024 № 245/39 «О внесении изменений в Устав Рузского городского округа Московской области»</w:t>
      </w:r>
      <w:r>
        <w:rPr>
          <w:rFonts w:ascii="Times New Roman" w:hAnsi="Times New Roman"/>
          <w:spacing w:val="-4"/>
          <w:sz w:val="28"/>
          <w:szCs w:val="28"/>
        </w:rPr>
        <w:t>.</w:t>
      </w:r>
    </w:p>
    <w:p w14:paraId="0718402E">
      <w:pPr>
        <w:pStyle w:val="6"/>
        <w:spacing w:after="0" w:line="240" w:lineRule="auto"/>
        <w:ind w:firstLine="680"/>
        <w:jc w:val="both"/>
        <w:rPr>
          <w:rFonts w:hint="default" w:ascii="Times New Roman" w:hAnsi="Times New Roman"/>
          <w:color w:val="000000"/>
          <w:sz w:val="28"/>
          <w:szCs w:val="28"/>
        </w:rPr>
      </w:pPr>
      <w:r>
        <w:rPr>
          <w:rFonts w:hint="default" w:ascii="Times New Roman" w:hAnsi="Times New Roman"/>
          <w:color w:val="000000"/>
          <w:sz w:val="28"/>
          <w:szCs w:val="28"/>
        </w:rPr>
        <w:t xml:space="preserve">Проект постановления размещен в информационно-телекоммуникационной сети Интернет на сайте </w:t>
      </w:r>
      <w:r>
        <w:rPr>
          <w:rFonts w:hint="default" w:ascii="Times New Roman" w:hAnsi="Times New Roman"/>
          <w:color w:val="000000"/>
          <w:sz w:val="28"/>
          <w:szCs w:val="28"/>
          <w:lang w:val="ru-RU"/>
        </w:rPr>
        <w:t>Рузского муниципального округа</w:t>
      </w:r>
      <w:r>
        <w:rPr>
          <w:rFonts w:hint="default" w:ascii="Times New Roman" w:hAnsi="Times New Roman"/>
          <w:color w:val="000000"/>
          <w:sz w:val="28"/>
          <w:szCs w:val="28"/>
        </w:rPr>
        <w:t xml:space="preserve"> по адресу: https://ruzaregion.ru для проведения независимой антикоррупционной экспертизы. </w:t>
      </w:r>
    </w:p>
    <w:p w14:paraId="77875057">
      <w:pPr>
        <w:pStyle w:val="6"/>
        <w:spacing w:after="0" w:line="240" w:lineRule="auto"/>
        <w:ind w:firstLine="680"/>
        <w:jc w:val="both"/>
      </w:pPr>
      <w:r>
        <w:rPr>
          <w:rFonts w:ascii="Times New Roman" w:hAnsi="Times New Roman"/>
          <w:color w:val="000000"/>
          <w:sz w:val="28"/>
          <w:szCs w:val="28"/>
        </w:rPr>
        <w:t>Проект постановления</w:t>
      </w:r>
      <w:r>
        <w:rPr>
          <w:rFonts w:ascii="Times New Roman" w:hAnsi="Times New Roman"/>
          <w:sz w:val="28"/>
          <w:szCs w:val="28"/>
        </w:rPr>
        <w:t xml:space="preserve"> не противоречит актам более высокой юридической силы, не влияет на достижение целей муниципальных программ Рузского муниципального округа.</w:t>
      </w:r>
    </w:p>
    <w:p w14:paraId="1D221C95">
      <w:pPr>
        <w:pStyle w:val="6"/>
        <w:spacing w:after="0" w:line="240" w:lineRule="auto"/>
        <w:ind w:firstLine="680"/>
        <w:jc w:val="both"/>
      </w:pPr>
      <w:r>
        <w:rPr>
          <w:rFonts w:ascii="Times New Roman" w:hAnsi="Times New Roman"/>
          <w:sz w:val="28"/>
          <w:szCs w:val="28"/>
        </w:rPr>
        <w:t xml:space="preserve">Реализация проекта </w:t>
      </w:r>
      <w:r>
        <w:rPr>
          <w:rFonts w:ascii="Times New Roman" w:hAnsi="Times New Roman"/>
          <w:color w:val="000000"/>
          <w:sz w:val="28"/>
          <w:szCs w:val="28"/>
        </w:rPr>
        <w:t>постановления</w:t>
      </w:r>
      <w:r>
        <w:rPr>
          <w:rFonts w:ascii="Times New Roman" w:hAnsi="Times New Roman"/>
          <w:sz w:val="28"/>
          <w:szCs w:val="28"/>
        </w:rPr>
        <w:t xml:space="preserve"> не повлечет социально-экономических, финансовых и иных последствий, а также не потребует выделения дополнительных средств из местного бюджета.</w:t>
      </w:r>
    </w:p>
    <w:p w14:paraId="58352594">
      <w:pPr>
        <w:autoSpaceDE w:val="0"/>
        <w:autoSpaceDN w:val="0"/>
        <w:adjustRightInd w:val="0"/>
        <w:spacing w:after="0" w:line="240" w:lineRule="auto"/>
        <w:ind w:firstLine="540"/>
        <w:jc w:val="both"/>
        <w:rPr>
          <w:rFonts w:ascii="Times New Roman" w:hAnsi="Times New Roman" w:cs="Times New Roman"/>
          <w:sz w:val="24"/>
          <w:szCs w:val="24"/>
        </w:rPr>
      </w:pPr>
    </w:p>
    <w:p w14:paraId="09EF75B0">
      <w:pPr>
        <w:autoSpaceDE w:val="0"/>
        <w:autoSpaceDN w:val="0"/>
        <w:adjustRightInd w:val="0"/>
        <w:spacing w:after="0" w:line="240" w:lineRule="auto"/>
        <w:ind w:firstLine="540"/>
        <w:jc w:val="both"/>
        <w:rPr>
          <w:rFonts w:ascii="Times New Roman" w:hAnsi="Times New Roman" w:cs="Times New Roman"/>
          <w:sz w:val="24"/>
          <w:szCs w:val="24"/>
        </w:rPr>
      </w:pPr>
    </w:p>
    <w:p w14:paraId="055E6C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Финансового управления</w:t>
      </w:r>
    </w:p>
    <w:p w14:paraId="428289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Администрации Рузского муниципального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hint="default" w:ascii="Times New Roman" w:hAnsi="Times New Roman" w:cs="Times New Roman"/>
          <w:sz w:val="28"/>
          <w:szCs w:val="28"/>
          <w:lang w:val="en-US"/>
        </w:rPr>
        <w:t xml:space="preserve">       </w:t>
      </w:r>
      <w:bookmarkStart w:id="2" w:name="_GoBack"/>
      <w:bookmarkEnd w:id="2"/>
      <w:r>
        <w:rPr>
          <w:rFonts w:ascii="Times New Roman" w:hAnsi="Times New Roman" w:cs="Times New Roman"/>
          <w:sz w:val="28"/>
          <w:szCs w:val="28"/>
        </w:rPr>
        <w:t xml:space="preserve"> В.Б. Буздина</w:t>
      </w:r>
    </w:p>
    <w:p w14:paraId="05A74D97">
      <w:pPr>
        <w:spacing w:after="0" w:line="240" w:lineRule="auto"/>
        <w:jc w:val="both"/>
        <w:rPr>
          <w:rFonts w:ascii="Times New Roman" w:hAnsi="Times New Roman" w:cs="Times New Roman"/>
          <w:color w:val="000000" w:themeColor="text1"/>
          <w:sz w:val="28"/>
          <w:szCs w:val="28"/>
        </w:rPr>
      </w:pPr>
    </w:p>
    <w:sectPr>
      <w:footerReference r:id="rId5" w:type="default"/>
      <w:pgSz w:w="11906" w:h="16838"/>
      <w:pgMar w:top="1134" w:right="851" w:bottom="709"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PT Sans">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B8F7A">
    <w:pPr>
      <w:pStyle w:val="7"/>
      <w:jc w:val="right"/>
    </w:pPr>
  </w:p>
  <w:p w14:paraId="068F62E4">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990641"/>
    <w:rsid w:val="0000704C"/>
    <w:rsid w:val="00012143"/>
    <w:rsid w:val="00014DC8"/>
    <w:rsid w:val="0001636E"/>
    <w:rsid w:val="000235A6"/>
    <w:rsid w:val="00035B4E"/>
    <w:rsid w:val="000423B4"/>
    <w:rsid w:val="00051D52"/>
    <w:rsid w:val="000541B4"/>
    <w:rsid w:val="00056DA9"/>
    <w:rsid w:val="00057E41"/>
    <w:rsid w:val="00057F13"/>
    <w:rsid w:val="00063F10"/>
    <w:rsid w:val="000878E1"/>
    <w:rsid w:val="000A5098"/>
    <w:rsid w:val="000A6DA5"/>
    <w:rsid w:val="000B0D61"/>
    <w:rsid w:val="000C658A"/>
    <w:rsid w:val="000E70F3"/>
    <w:rsid w:val="000F33A3"/>
    <w:rsid w:val="000F68B3"/>
    <w:rsid w:val="00106AB9"/>
    <w:rsid w:val="00121EBC"/>
    <w:rsid w:val="00123F99"/>
    <w:rsid w:val="00124820"/>
    <w:rsid w:val="001279E8"/>
    <w:rsid w:val="001314E2"/>
    <w:rsid w:val="00136DFB"/>
    <w:rsid w:val="00137387"/>
    <w:rsid w:val="001527DC"/>
    <w:rsid w:val="00165947"/>
    <w:rsid w:val="00175205"/>
    <w:rsid w:val="00181BEC"/>
    <w:rsid w:val="00183DA2"/>
    <w:rsid w:val="00190DB4"/>
    <w:rsid w:val="001B067C"/>
    <w:rsid w:val="001B16E2"/>
    <w:rsid w:val="001B4919"/>
    <w:rsid w:val="001C063F"/>
    <w:rsid w:val="001C2E0B"/>
    <w:rsid w:val="001C48A8"/>
    <w:rsid w:val="001C59F9"/>
    <w:rsid w:val="001D14A0"/>
    <w:rsid w:val="001D19A7"/>
    <w:rsid w:val="001D560B"/>
    <w:rsid w:val="001F6657"/>
    <w:rsid w:val="00210EC8"/>
    <w:rsid w:val="00214486"/>
    <w:rsid w:val="00215AC9"/>
    <w:rsid w:val="00225602"/>
    <w:rsid w:val="00231234"/>
    <w:rsid w:val="002315AE"/>
    <w:rsid w:val="00232EC8"/>
    <w:rsid w:val="00233DEE"/>
    <w:rsid w:val="00236259"/>
    <w:rsid w:val="00240059"/>
    <w:rsid w:val="002446A5"/>
    <w:rsid w:val="00247269"/>
    <w:rsid w:val="00256ABF"/>
    <w:rsid w:val="00256D44"/>
    <w:rsid w:val="002571B3"/>
    <w:rsid w:val="00266CBB"/>
    <w:rsid w:val="00285B8D"/>
    <w:rsid w:val="00286E4F"/>
    <w:rsid w:val="002A1CBF"/>
    <w:rsid w:val="002B1746"/>
    <w:rsid w:val="002E01B2"/>
    <w:rsid w:val="002E0D9E"/>
    <w:rsid w:val="002E2B8D"/>
    <w:rsid w:val="002E50C8"/>
    <w:rsid w:val="002E699C"/>
    <w:rsid w:val="002E77CC"/>
    <w:rsid w:val="002F63EB"/>
    <w:rsid w:val="0030338B"/>
    <w:rsid w:val="00304140"/>
    <w:rsid w:val="00312F43"/>
    <w:rsid w:val="00314F24"/>
    <w:rsid w:val="00316727"/>
    <w:rsid w:val="00321743"/>
    <w:rsid w:val="0033201C"/>
    <w:rsid w:val="00333867"/>
    <w:rsid w:val="003354A9"/>
    <w:rsid w:val="00337625"/>
    <w:rsid w:val="00362D91"/>
    <w:rsid w:val="00363434"/>
    <w:rsid w:val="00364843"/>
    <w:rsid w:val="00366D76"/>
    <w:rsid w:val="00372CE7"/>
    <w:rsid w:val="00374B8B"/>
    <w:rsid w:val="00375CA0"/>
    <w:rsid w:val="00376E8B"/>
    <w:rsid w:val="003824FD"/>
    <w:rsid w:val="00383439"/>
    <w:rsid w:val="003874E8"/>
    <w:rsid w:val="00391108"/>
    <w:rsid w:val="0039247B"/>
    <w:rsid w:val="003925A9"/>
    <w:rsid w:val="003A7B21"/>
    <w:rsid w:val="003B184B"/>
    <w:rsid w:val="003B58D3"/>
    <w:rsid w:val="003B7B32"/>
    <w:rsid w:val="003E2AAA"/>
    <w:rsid w:val="003F54D0"/>
    <w:rsid w:val="00402D8D"/>
    <w:rsid w:val="004051AA"/>
    <w:rsid w:val="00405713"/>
    <w:rsid w:val="0041334E"/>
    <w:rsid w:val="00414BCF"/>
    <w:rsid w:val="00417015"/>
    <w:rsid w:val="00422015"/>
    <w:rsid w:val="00433387"/>
    <w:rsid w:val="004353DF"/>
    <w:rsid w:val="00444D37"/>
    <w:rsid w:val="004547D1"/>
    <w:rsid w:val="00457395"/>
    <w:rsid w:val="00460FDF"/>
    <w:rsid w:val="004618F9"/>
    <w:rsid w:val="0046545E"/>
    <w:rsid w:val="00465AF4"/>
    <w:rsid w:val="0047249C"/>
    <w:rsid w:val="0048171A"/>
    <w:rsid w:val="004831A9"/>
    <w:rsid w:val="0049770F"/>
    <w:rsid w:val="004B54C2"/>
    <w:rsid w:val="004B55E2"/>
    <w:rsid w:val="004B5C20"/>
    <w:rsid w:val="004C0B30"/>
    <w:rsid w:val="004C12BF"/>
    <w:rsid w:val="004C3FEE"/>
    <w:rsid w:val="004C7CBD"/>
    <w:rsid w:val="004D1D0C"/>
    <w:rsid w:val="004E74BF"/>
    <w:rsid w:val="004F0B0D"/>
    <w:rsid w:val="004F1116"/>
    <w:rsid w:val="004F172A"/>
    <w:rsid w:val="004F3515"/>
    <w:rsid w:val="005119E3"/>
    <w:rsid w:val="005136C9"/>
    <w:rsid w:val="005230FA"/>
    <w:rsid w:val="005250E5"/>
    <w:rsid w:val="00527765"/>
    <w:rsid w:val="00534F4A"/>
    <w:rsid w:val="00534FEC"/>
    <w:rsid w:val="00562C42"/>
    <w:rsid w:val="0056321B"/>
    <w:rsid w:val="0056658C"/>
    <w:rsid w:val="005713C0"/>
    <w:rsid w:val="00573F4B"/>
    <w:rsid w:val="005837D7"/>
    <w:rsid w:val="00592A51"/>
    <w:rsid w:val="00596890"/>
    <w:rsid w:val="005A4068"/>
    <w:rsid w:val="005A7E03"/>
    <w:rsid w:val="005C46E8"/>
    <w:rsid w:val="005C6EF8"/>
    <w:rsid w:val="005D000A"/>
    <w:rsid w:val="005D585B"/>
    <w:rsid w:val="005E16F0"/>
    <w:rsid w:val="005F0E24"/>
    <w:rsid w:val="005F3A7C"/>
    <w:rsid w:val="005F4150"/>
    <w:rsid w:val="005F462F"/>
    <w:rsid w:val="005F56F1"/>
    <w:rsid w:val="00603E03"/>
    <w:rsid w:val="00604B4C"/>
    <w:rsid w:val="0060778C"/>
    <w:rsid w:val="00607B8E"/>
    <w:rsid w:val="00620100"/>
    <w:rsid w:val="00631D32"/>
    <w:rsid w:val="00632BEF"/>
    <w:rsid w:val="00634F14"/>
    <w:rsid w:val="00635570"/>
    <w:rsid w:val="00643501"/>
    <w:rsid w:val="006444BB"/>
    <w:rsid w:val="00645489"/>
    <w:rsid w:val="00645DE8"/>
    <w:rsid w:val="00645EA6"/>
    <w:rsid w:val="00657733"/>
    <w:rsid w:val="00674257"/>
    <w:rsid w:val="006A013F"/>
    <w:rsid w:val="006B1C8B"/>
    <w:rsid w:val="006B72CD"/>
    <w:rsid w:val="006B7803"/>
    <w:rsid w:val="006C5630"/>
    <w:rsid w:val="006D017B"/>
    <w:rsid w:val="006D0CEE"/>
    <w:rsid w:val="006D6D0E"/>
    <w:rsid w:val="006D773C"/>
    <w:rsid w:val="006E5DA1"/>
    <w:rsid w:val="006E626A"/>
    <w:rsid w:val="006E669F"/>
    <w:rsid w:val="006E71D0"/>
    <w:rsid w:val="006F0EDE"/>
    <w:rsid w:val="006F4E1C"/>
    <w:rsid w:val="00702F48"/>
    <w:rsid w:val="00711C73"/>
    <w:rsid w:val="0072081A"/>
    <w:rsid w:val="00734682"/>
    <w:rsid w:val="007375F1"/>
    <w:rsid w:val="00746561"/>
    <w:rsid w:val="007475E7"/>
    <w:rsid w:val="00750B20"/>
    <w:rsid w:val="0075141D"/>
    <w:rsid w:val="007534A5"/>
    <w:rsid w:val="007540A2"/>
    <w:rsid w:val="0076028D"/>
    <w:rsid w:val="007644CB"/>
    <w:rsid w:val="00764AFD"/>
    <w:rsid w:val="0077062F"/>
    <w:rsid w:val="00777807"/>
    <w:rsid w:val="0078436D"/>
    <w:rsid w:val="00785E3D"/>
    <w:rsid w:val="007878DF"/>
    <w:rsid w:val="00790365"/>
    <w:rsid w:val="007A2F2E"/>
    <w:rsid w:val="007A47B3"/>
    <w:rsid w:val="007A7532"/>
    <w:rsid w:val="007B27EE"/>
    <w:rsid w:val="007B4A21"/>
    <w:rsid w:val="007D0149"/>
    <w:rsid w:val="007D30FA"/>
    <w:rsid w:val="007E190D"/>
    <w:rsid w:val="007E25F1"/>
    <w:rsid w:val="007E4171"/>
    <w:rsid w:val="007F2EA1"/>
    <w:rsid w:val="007F6D3F"/>
    <w:rsid w:val="00800B3F"/>
    <w:rsid w:val="00813D95"/>
    <w:rsid w:val="00820812"/>
    <w:rsid w:val="008231E3"/>
    <w:rsid w:val="0085358C"/>
    <w:rsid w:val="00861300"/>
    <w:rsid w:val="00863320"/>
    <w:rsid w:val="008678C0"/>
    <w:rsid w:val="008723D6"/>
    <w:rsid w:val="008760F2"/>
    <w:rsid w:val="00886AF5"/>
    <w:rsid w:val="008B63AB"/>
    <w:rsid w:val="008C3637"/>
    <w:rsid w:val="008C52FF"/>
    <w:rsid w:val="008F0CB7"/>
    <w:rsid w:val="008F126D"/>
    <w:rsid w:val="008F53B6"/>
    <w:rsid w:val="009009B1"/>
    <w:rsid w:val="0090295E"/>
    <w:rsid w:val="00903ABF"/>
    <w:rsid w:val="00903F71"/>
    <w:rsid w:val="00911F9A"/>
    <w:rsid w:val="00915266"/>
    <w:rsid w:val="0092457E"/>
    <w:rsid w:val="009342EA"/>
    <w:rsid w:val="0093450D"/>
    <w:rsid w:val="00936B1C"/>
    <w:rsid w:val="00937F24"/>
    <w:rsid w:val="009406DE"/>
    <w:rsid w:val="00942D9B"/>
    <w:rsid w:val="00943C57"/>
    <w:rsid w:val="00990641"/>
    <w:rsid w:val="009916F6"/>
    <w:rsid w:val="009922F8"/>
    <w:rsid w:val="0099637E"/>
    <w:rsid w:val="009A1375"/>
    <w:rsid w:val="009A47A5"/>
    <w:rsid w:val="009A5F59"/>
    <w:rsid w:val="009B4A96"/>
    <w:rsid w:val="009B5D2A"/>
    <w:rsid w:val="009C7A27"/>
    <w:rsid w:val="009D08DE"/>
    <w:rsid w:val="009D09C0"/>
    <w:rsid w:val="009D4544"/>
    <w:rsid w:val="009E3DC5"/>
    <w:rsid w:val="009E3E34"/>
    <w:rsid w:val="009F00E6"/>
    <w:rsid w:val="009F2614"/>
    <w:rsid w:val="009F5880"/>
    <w:rsid w:val="009F7429"/>
    <w:rsid w:val="009F75F4"/>
    <w:rsid w:val="00A00BE7"/>
    <w:rsid w:val="00A025BF"/>
    <w:rsid w:val="00A05053"/>
    <w:rsid w:val="00A06FF6"/>
    <w:rsid w:val="00A11A62"/>
    <w:rsid w:val="00A16C72"/>
    <w:rsid w:val="00A20F2F"/>
    <w:rsid w:val="00A24DDE"/>
    <w:rsid w:val="00A256E5"/>
    <w:rsid w:val="00A41D7A"/>
    <w:rsid w:val="00A442CD"/>
    <w:rsid w:val="00A449ED"/>
    <w:rsid w:val="00A537DC"/>
    <w:rsid w:val="00A612B5"/>
    <w:rsid w:val="00A70220"/>
    <w:rsid w:val="00A76135"/>
    <w:rsid w:val="00A766FC"/>
    <w:rsid w:val="00A80FF9"/>
    <w:rsid w:val="00AA254C"/>
    <w:rsid w:val="00AB063C"/>
    <w:rsid w:val="00AB136C"/>
    <w:rsid w:val="00AB6DD8"/>
    <w:rsid w:val="00AC1A35"/>
    <w:rsid w:val="00AC717D"/>
    <w:rsid w:val="00AD6F20"/>
    <w:rsid w:val="00AE2611"/>
    <w:rsid w:val="00AE5E76"/>
    <w:rsid w:val="00AF39BC"/>
    <w:rsid w:val="00AF626E"/>
    <w:rsid w:val="00B032C1"/>
    <w:rsid w:val="00B04A5B"/>
    <w:rsid w:val="00B04B90"/>
    <w:rsid w:val="00B052D7"/>
    <w:rsid w:val="00B078D2"/>
    <w:rsid w:val="00B21B50"/>
    <w:rsid w:val="00B227B6"/>
    <w:rsid w:val="00B3005F"/>
    <w:rsid w:val="00B30D10"/>
    <w:rsid w:val="00B36B32"/>
    <w:rsid w:val="00B43A3D"/>
    <w:rsid w:val="00B44D0E"/>
    <w:rsid w:val="00B45ACC"/>
    <w:rsid w:val="00B52000"/>
    <w:rsid w:val="00B6770A"/>
    <w:rsid w:val="00B7028A"/>
    <w:rsid w:val="00B77150"/>
    <w:rsid w:val="00B821B8"/>
    <w:rsid w:val="00B8716A"/>
    <w:rsid w:val="00B87F9F"/>
    <w:rsid w:val="00BA3530"/>
    <w:rsid w:val="00BA4E41"/>
    <w:rsid w:val="00BA7546"/>
    <w:rsid w:val="00BB7B9C"/>
    <w:rsid w:val="00BC1248"/>
    <w:rsid w:val="00BC1DF0"/>
    <w:rsid w:val="00BC4E89"/>
    <w:rsid w:val="00BD1D7E"/>
    <w:rsid w:val="00BD71B0"/>
    <w:rsid w:val="00BE2D91"/>
    <w:rsid w:val="00BE51CB"/>
    <w:rsid w:val="00BE53D8"/>
    <w:rsid w:val="00BF1283"/>
    <w:rsid w:val="00BF32C1"/>
    <w:rsid w:val="00BF3F05"/>
    <w:rsid w:val="00C06CE6"/>
    <w:rsid w:val="00C10E82"/>
    <w:rsid w:val="00C1144C"/>
    <w:rsid w:val="00C151B9"/>
    <w:rsid w:val="00C170EC"/>
    <w:rsid w:val="00C17A87"/>
    <w:rsid w:val="00C22B59"/>
    <w:rsid w:val="00C30F32"/>
    <w:rsid w:val="00C31DF7"/>
    <w:rsid w:val="00C37092"/>
    <w:rsid w:val="00C37C06"/>
    <w:rsid w:val="00C4586D"/>
    <w:rsid w:val="00C544C7"/>
    <w:rsid w:val="00C74542"/>
    <w:rsid w:val="00C763C9"/>
    <w:rsid w:val="00C90BA6"/>
    <w:rsid w:val="00C96577"/>
    <w:rsid w:val="00CB3551"/>
    <w:rsid w:val="00CB6A1B"/>
    <w:rsid w:val="00CB6F01"/>
    <w:rsid w:val="00CD52D0"/>
    <w:rsid w:val="00CD6101"/>
    <w:rsid w:val="00CD7053"/>
    <w:rsid w:val="00CE1FA8"/>
    <w:rsid w:val="00CF25BD"/>
    <w:rsid w:val="00CF496B"/>
    <w:rsid w:val="00CF7049"/>
    <w:rsid w:val="00D01185"/>
    <w:rsid w:val="00D0356F"/>
    <w:rsid w:val="00D07509"/>
    <w:rsid w:val="00D17B31"/>
    <w:rsid w:val="00D25AE3"/>
    <w:rsid w:val="00D27606"/>
    <w:rsid w:val="00D369A0"/>
    <w:rsid w:val="00D413C2"/>
    <w:rsid w:val="00D4143D"/>
    <w:rsid w:val="00D5358B"/>
    <w:rsid w:val="00D604EE"/>
    <w:rsid w:val="00D6145F"/>
    <w:rsid w:val="00D61657"/>
    <w:rsid w:val="00D67010"/>
    <w:rsid w:val="00D74596"/>
    <w:rsid w:val="00D74A1C"/>
    <w:rsid w:val="00D827DE"/>
    <w:rsid w:val="00D867C9"/>
    <w:rsid w:val="00D93FF1"/>
    <w:rsid w:val="00D96198"/>
    <w:rsid w:val="00DA43CB"/>
    <w:rsid w:val="00DA5D4F"/>
    <w:rsid w:val="00DB188B"/>
    <w:rsid w:val="00DB456C"/>
    <w:rsid w:val="00DC617D"/>
    <w:rsid w:val="00DD087A"/>
    <w:rsid w:val="00DD0BE1"/>
    <w:rsid w:val="00DD6C36"/>
    <w:rsid w:val="00DE03F8"/>
    <w:rsid w:val="00DE5931"/>
    <w:rsid w:val="00DF3941"/>
    <w:rsid w:val="00E01D00"/>
    <w:rsid w:val="00E02AB3"/>
    <w:rsid w:val="00E03F69"/>
    <w:rsid w:val="00E04763"/>
    <w:rsid w:val="00E210EE"/>
    <w:rsid w:val="00E22BA2"/>
    <w:rsid w:val="00E25DF1"/>
    <w:rsid w:val="00E31A56"/>
    <w:rsid w:val="00E33318"/>
    <w:rsid w:val="00E4141D"/>
    <w:rsid w:val="00E42CDB"/>
    <w:rsid w:val="00E43486"/>
    <w:rsid w:val="00E444FF"/>
    <w:rsid w:val="00E4545C"/>
    <w:rsid w:val="00E474A1"/>
    <w:rsid w:val="00E51611"/>
    <w:rsid w:val="00E5185C"/>
    <w:rsid w:val="00E51C57"/>
    <w:rsid w:val="00E565BE"/>
    <w:rsid w:val="00E630E0"/>
    <w:rsid w:val="00E63977"/>
    <w:rsid w:val="00E67664"/>
    <w:rsid w:val="00E76263"/>
    <w:rsid w:val="00E80EE8"/>
    <w:rsid w:val="00E81382"/>
    <w:rsid w:val="00E87DAB"/>
    <w:rsid w:val="00EA5654"/>
    <w:rsid w:val="00EB7AD1"/>
    <w:rsid w:val="00EC33B5"/>
    <w:rsid w:val="00EC68BC"/>
    <w:rsid w:val="00ED331E"/>
    <w:rsid w:val="00ED4193"/>
    <w:rsid w:val="00ED5F61"/>
    <w:rsid w:val="00EF053F"/>
    <w:rsid w:val="00EF1B72"/>
    <w:rsid w:val="00F02FAC"/>
    <w:rsid w:val="00F07C0B"/>
    <w:rsid w:val="00F20E33"/>
    <w:rsid w:val="00F24F15"/>
    <w:rsid w:val="00F32668"/>
    <w:rsid w:val="00F32F1A"/>
    <w:rsid w:val="00F41BC9"/>
    <w:rsid w:val="00F4671D"/>
    <w:rsid w:val="00F51640"/>
    <w:rsid w:val="00F52859"/>
    <w:rsid w:val="00F53D8C"/>
    <w:rsid w:val="00F5529D"/>
    <w:rsid w:val="00F603A1"/>
    <w:rsid w:val="00F63EFA"/>
    <w:rsid w:val="00F66112"/>
    <w:rsid w:val="00F66CCF"/>
    <w:rsid w:val="00F67597"/>
    <w:rsid w:val="00F8221C"/>
    <w:rsid w:val="00F8454A"/>
    <w:rsid w:val="00F85122"/>
    <w:rsid w:val="00FA4B3B"/>
    <w:rsid w:val="00FA5ED8"/>
    <w:rsid w:val="00FB073D"/>
    <w:rsid w:val="00FB4188"/>
    <w:rsid w:val="00FC3972"/>
    <w:rsid w:val="00FD34C6"/>
    <w:rsid w:val="00FE5378"/>
    <w:rsid w:val="00FF4AD0"/>
    <w:rsid w:val="00FF7612"/>
    <w:rsid w:val="05AF7B72"/>
    <w:rsid w:val="20A21E8A"/>
    <w:rsid w:val="21045EF3"/>
    <w:rsid w:val="5FE24E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Segoe UI" w:hAnsi="Segoe UI" w:cs="Segoe UI"/>
      <w:sz w:val="18"/>
      <w:szCs w:val="18"/>
    </w:rPr>
  </w:style>
  <w:style w:type="paragraph" w:styleId="5">
    <w:name w:val="header"/>
    <w:basedOn w:val="1"/>
    <w:link w:val="10"/>
    <w:unhideWhenUsed/>
    <w:uiPriority w:val="99"/>
    <w:pPr>
      <w:tabs>
        <w:tab w:val="center" w:pos="4677"/>
        <w:tab w:val="right" w:pos="9355"/>
      </w:tabs>
      <w:spacing w:after="0" w:line="240" w:lineRule="auto"/>
    </w:pPr>
  </w:style>
  <w:style w:type="paragraph" w:styleId="6">
    <w:name w:val="Body Text"/>
    <w:basedOn w:val="1"/>
    <w:uiPriority w:val="0"/>
    <w:pPr>
      <w:suppressAutoHyphens/>
      <w:spacing w:after="140" w:line="276" w:lineRule="auto"/>
    </w:pPr>
    <w:rPr>
      <w:rFonts w:ascii="Calibri" w:hAnsi="Calibri" w:eastAsia="Calibri" w:cs="Times New Roman"/>
      <w:lang w:eastAsia="zh-CN"/>
    </w:rPr>
  </w:style>
  <w:style w:type="paragraph" w:styleId="7">
    <w:name w:val="footer"/>
    <w:basedOn w:val="1"/>
    <w:link w:val="11"/>
    <w:unhideWhenUsed/>
    <w:uiPriority w:val="99"/>
    <w:pPr>
      <w:tabs>
        <w:tab w:val="center" w:pos="4677"/>
        <w:tab w:val="right" w:pos="9355"/>
      </w:tabs>
      <w:spacing w:after="0" w:line="240" w:lineRule="auto"/>
    </w:pPr>
  </w:style>
  <w:style w:type="paragraph" w:customStyle="1" w:styleId="8">
    <w:name w:val="Обычный1"/>
    <w:qFormat/>
    <w:uiPriority w:val="0"/>
    <w:pPr>
      <w:widowControl w:val="0"/>
      <w:spacing w:after="0" w:line="240" w:lineRule="auto"/>
    </w:pPr>
    <w:rPr>
      <w:rFonts w:ascii="Times New Roman" w:hAnsi="Times New Roman" w:eastAsia="Times New Roman" w:cs="Times New Roman"/>
      <w:snapToGrid w:val="0"/>
      <w:sz w:val="20"/>
      <w:szCs w:val="20"/>
      <w:lang w:val="ru-RU" w:eastAsia="ru-RU" w:bidi="ar-SA"/>
    </w:rPr>
  </w:style>
  <w:style w:type="paragraph" w:customStyle="1" w:styleId="9">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10">
    <w:name w:val="Верхний колонтитул Знак"/>
    <w:basedOn w:val="2"/>
    <w:link w:val="5"/>
    <w:uiPriority w:val="99"/>
  </w:style>
  <w:style w:type="character" w:customStyle="1" w:styleId="11">
    <w:name w:val="Нижний колонтитул Знак"/>
    <w:basedOn w:val="2"/>
    <w:link w:val="7"/>
    <w:uiPriority w:val="99"/>
  </w:style>
  <w:style w:type="paragraph" w:styleId="12">
    <w:name w:val="List Paragraph"/>
    <w:basedOn w:val="1"/>
    <w:qFormat/>
    <w:uiPriority w:val="34"/>
    <w:pPr>
      <w:ind w:left="720"/>
      <w:contextualSpacing/>
    </w:pPr>
  </w:style>
  <w:style w:type="character" w:customStyle="1" w:styleId="13">
    <w:name w:val="A5"/>
    <w:qFormat/>
    <w:uiPriority w:val="99"/>
    <w:rPr>
      <w:rFonts w:cs="PT Sans"/>
      <w:color w:val="000000"/>
      <w:sz w:val="32"/>
      <w:szCs w:val="32"/>
    </w:rPr>
  </w:style>
  <w:style w:type="character" w:customStyle="1" w:styleId="14">
    <w:name w:val="Текст выноски Знак"/>
    <w:basedOn w:val="2"/>
    <w:link w:val="4"/>
    <w:semiHidden/>
    <w:uiPriority w:val="99"/>
    <w:rPr>
      <w:rFonts w:ascii="Segoe UI" w:hAnsi="Segoe UI" w:cs="Segoe UI"/>
      <w:sz w:val="18"/>
      <w:szCs w:val="18"/>
    </w:rPr>
  </w:style>
  <w:style w:type="paragraph" w:styleId="15">
    <w:name w:val="No Spacing"/>
    <w:qFormat/>
    <w:uiPriority w:val="0"/>
    <w:pPr>
      <w:suppressAutoHyphens/>
      <w:spacing w:after="0" w:line="240" w:lineRule="auto"/>
    </w:pPr>
    <w:rPr>
      <w:rFonts w:ascii="Calibri" w:hAnsi="Calibri" w:eastAsia="Calibri" w:cs="Times New Roman"/>
      <w:sz w:val="22"/>
      <w:szCs w:val="22"/>
      <w:lang w:val="ru-RU"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F34FE-BFC1-4D05-ADD4-A05A6241685A}">
  <ds:schemaRefs/>
</ds:datastoreItem>
</file>

<file path=docProps/app.xml><?xml version="1.0" encoding="utf-8"?>
<Properties xmlns="http://schemas.openxmlformats.org/officeDocument/2006/extended-properties" xmlns:vt="http://schemas.openxmlformats.org/officeDocument/2006/docPropsVTypes">
  <Template>Normal</Template>
  <Company>Финуправление Рузского района</Company>
  <Pages>15</Pages>
  <Words>4655</Words>
  <Characters>26534</Characters>
  <Lines>221</Lines>
  <Paragraphs>62</Paragraphs>
  <TotalTime>1</TotalTime>
  <ScaleCrop>false</ScaleCrop>
  <LinksUpToDate>false</LinksUpToDate>
  <CharactersWithSpaces>31127</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2024-03-15T08:41:00Z</dcterms:created>
  <dc:creator>Кошовкина</dc:creator>
  <cp:lastModifiedBy>PC11</cp:lastModifiedBy>
  <cp:lastPrinted>2024-03-20T06:09:00Z</cp:lastPrinted>
  <dcterms:modified xsi:type="dcterms:W3CDTF">2025-04-03T12:31:58Z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F41805AE903F4067AF1A13BF454FF1BF_12</vt:lpwstr>
  </property>
</Properties>
</file>