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F56466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sz w:val="20"/>
              </w:rPr>
              <w:t xml:space="preserve">Клюева Светлана </w:t>
            </w:r>
            <w:proofErr w:type="spellStart"/>
            <w:r>
              <w:rPr>
                <w:sz w:val="20"/>
              </w:rPr>
              <w:t>Леонардовна</w:t>
            </w:r>
            <w:proofErr w:type="spellEnd"/>
            <w:r>
              <w:rPr>
                <w:sz w:val="20"/>
              </w:rPr>
              <w:t xml:space="preserve">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F56466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40810810040009414708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48452A" w:rsidRPr="00171438" w:rsidRDefault="003D3230" w:rsidP="0048452A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С.Л. Клюева </w:t>
            </w: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8452A" w:rsidRPr="00171438" w:rsidRDefault="0048452A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3D3230"/>
    <w:rsid w:val="0048452A"/>
    <w:rsid w:val="004F2894"/>
    <w:rsid w:val="005351ED"/>
    <w:rsid w:val="006434F1"/>
    <w:rsid w:val="00746BD1"/>
    <w:rsid w:val="00AE2159"/>
    <w:rsid w:val="00BD1093"/>
    <w:rsid w:val="00C013C6"/>
    <w:rsid w:val="00EC5F3A"/>
    <w:rsid w:val="00F5093E"/>
    <w:rsid w:val="00F5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0293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16</cp:revision>
  <dcterms:created xsi:type="dcterms:W3CDTF">2022-07-07T08:45:00Z</dcterms:created>
  <dcterms:modified xsi:type="dcterms:W3CDTF">2022-07-22T12:54:00Z</dcterms:modified>
</cp:coreProperties>
</file>